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E4CC6" w14:textId="392CEBFE" w:rsidR="00690E3B" w:rsidRPr="00B0548A" w:rsidRDefault="00690E3B" w:rsidP="00D82663">
      <w:pPr>
        <w:jc w:val="left"/>
        <w:rPr>
          <w:rFonts w:ascii="Aptos" w:hAnsi="Aptos"/>
        </w:rPr>
      </w:pPr>
    </w:p>
    <w:p w14:paraId="3A7F0DCC" w14:textId="77777777" w:rsidR="00930FFD" w:rsidRPr="00B0548A" w:rsidRDefault="00930FFD" w:rsidP="00D82663">
      <w:pPr>
        <w:jc w:val="left"/>
        <w:rPr>
          <w:rFonts w:ascii="Aptos" w:hAnsi="Aptos"/>
        </w:rPr>
      </w:pPr>
    </w:p>
    <w:p w14:paraId="595B8E23" w14:textId="77777777" w:rsidR="00930FFD" w:rsidRPr="00B0548A" w:rsidRDefault="00930FFD" w:rsidP="00D82663">
      <w:pPr>
        <w:jc w:val="left"/>
        <w:rPr>
          <w:rFonts w:ascii="Aptos" w:hAnsi="Aptos"/>
        </w:rPr>
      </w:pPr>
    </w:p>
    <w:p w14:paraId="2F0D0540" w14:textId="7350FD9E" w:rsidR="00930FFD" w:rsidRPr="00B0548A" w:rsidRDefault="00930FFD" w:rsidP="00930FFD">
      <w:pPr>
        <w:pStyle w:val="Title"/>
        <w:jc w:val="center"/>
        <w:rPr>
          <w:rFonts w:ascii="Aptos" w:hAnsi="Aptos"/>
          <w:b/>
          <w:bCs/>
          <w:sz w:val="32"/>
          <w:szCs w:val="32"/>
        </w:rPr>
      </w:pPr>
      <w:r w:rsidRPr="00B0548A">
        <w:rPr>
          <w:rFonts w:ascii="Aptos" w:hAnsi="Aptos"/>
          <w:b/>
          <w:bCs/>
          <w:sz w:val="32"/>
          <w:szCs w:val="32"/>
        </w:rPr>
        <w:t>Peticionet Qytetare në Kuvendin e Shqipërisë</w:t>
      </w:r>
      <w:r w:rsidRPr="00B0548A">
        <w:rPr>
          <w:rStyle w:val="FootnoteReference"/>
          <w:rFonts w:ascii="Aptos" w:hAnsi="Aptos"/>
          <w:b/>
          <w:bCs/>
          <w:sz w:val="32"/>
          <w:szCs w:val="32"/>
        </w:rPr>
        <w:footnoteReference w:id="1"/>
      </w:r>
    </w:p>
    <w:p w14:paraId="218F46A9" w14:textId="13948B13" w:rsidR="00930FFD" w:rsidRPr="00B0548A" w:rsidRDefault="00930FFD" w:rsidP="00930FFD">
      <w:pPr>
        <w:pStyle w:val="Heading3"/>
        <w:spacing w:line="276" w:lineRule="auto"/>
        <w:ind w:left="360"/>
        <w:jc w:val="center"/>
        <w:rPr>
          <w:rFonts w:ascii="Aptos" w:hAnsi="Aptos"/>
          <w:color w:val="000000"/>
          <w:sz w:val="24"/>
          <w:szCs w:val="24"/>
        </w:rPr>
      </w:pPr>
      <w:r w:rsidRPr="00B0548A">
        <w:rPr>
          <w:rFonts w:ascii="Aptos" w:hAnsi="Aptos"/>
          <w:bCs/>
          <w:color w:val="4472C4" w:themeColor="accent1"/>
          <w:sz w:val="24"/>
          <w:szCs w:val="24"/>
        </w:rPr>
        <w:t xml:space="preserve"> </w:t>
      </w:r>
      <w:r w:rsidRPr="00B0548A">
        <w:rPr>
          <w:rFonts w:ascii="Aptos" w:hAnsi="Aptos"/>
          <w:color w:val="4472C4" w:themeColor="accent1"/>
          <w:sz w:val="24"/>
          <w:szCs w:val="24"/>
        </w:rPr>
        <w:t>(Modeli ligjor shqiptar, modelet evropiane dhe nevoja për ndërhyrje normative)</w:t>
      </w:r>
      <w:r w:rsidRPr="00B0548A">
        <w:rPr>
          <w:rFonts w:ascii="Aptos" w:hAnsi="Aptos"/>
          <w:color w:val="000000"/>
          <w:sz w:val="24"/>
          <w:szCs w:val="24"/>
        </w:rPr>
        <w:t xml:space="preserve"> </w:t>
      </w:r>
    </w:p>
    <w:p w14:paraId="3CA2156C" w14:textId="77777777" w:rsidR="00E61D5B" w:rsidRPr="00B0548A" w:rsidRDefault="00E61D5B" w:rsidP="00E61D5B">
      <w:pPr>
        <w:pStyle w:val="Heading3"/>
        <w:numPr>
          <w:ilvl w:val="0"/>
          <w:numId w:val="54"/>
        </w:numPr>
        <w:spacing w:line="276" w:lineRule="auto"/>
        <w:ind w:left="720" w:hanging="360"/>
        <w:rPr>
          <w:rFonts w:ascii="Aptos" w:hAnsi="Aptos"/>
          <w:b/>
          <w:color w:val="4472C4" w:themeColor="accent1"/>
          <w:sz w:val="24"/>
          <w:szCs w:val="24"/>
        </w:rPr>
      </w:pPr>
      <w:r w:rsidRPr="00B0548A">
        <w:rPr>
          <w:rFonts w:ascii="Aptos" w:hAnsi="Aptos"/>
          <w:color w:val="4472C4" w:themeColor="accent1"/>
          <w:sz w:val="24"/>
          <w:szCs w:val="24"/>
        </w:rPr>
        <w:t xml:space="preserve">Hyrje </w:t>
      </w:r>
    </w:p>
    <w:p w14:paraId="311CB46A" w14:textId="77777777" w:rsidR="00E61D5B" w:rsidRPr="00B0548A" w:rsidRDefault="00E61D5B" w:rsidP="00E61D5B">
      <w:pPr>
        <w:pStyle w:val="NormalWeb"/>
        <w:spacing w:line="276" w:lineRule="auto"/>
        <w:jc w:val="both"/>
        <w:rPr>
          <w:rFonts w:ascii="Aptos" w:hAnsi="Aptos"/>
          <w:lang w:val="sq-AL"/>
        </w:rPr>
      </w:pPr>
      <w:r w:rsidRPr="00B0548A">
        <w:rPr>
          <w:rFonts w:ascii="Aptos" w:hAnsi="Aptos"/>
          <w:lang w:val="sq-AL"/>
        </w:rPr>
        <w:t xml:space="preserve">Peticioni është një mjet i rëndësishëm për përfshirjen e qytetarëve në proceset politike dhe për mbrojtjen e të drejtave të tyre. Përmes këtij mekanizmi, qytetarët mund të ndikojnë në vendimmarrjen politike, të ngrenë shqetësime mbi çështje të rëndësishme dhe të kërkojnë përmirësime në legjislacion ose administratë. Këto rregullime synojnë të sigurojnë që qytetarët të kenë një kanal efektiv dhe transparent për të komunikuar me përfaqësuesit e tyre dhe për të ndikuar në proceset vendimmarrëse. Një qytetar mund të dorëzojë një peticion individualisht ose në grup. Peticionet e rëndësishme mund të marrin vëmendjen e deputetëve dhe madje të diskutohen në seanca parlamentare. Aktualisht, sipas praktikës parlamentare, peticioni mund të paraqitet në mënyrë tradicionale (me shkrim) . </w:t>
      </w:r>
    </w:p>
    <w:p w14:paraId="440831B4" w14:textId="4D156E33" w:rsidR="00E61D5B" w:rsidRPr="00B0548A" w:rsidRDefault="00E61D5B" w:rsidP="00E61D5B">
      <w:pPr>
        <w:pStyle w:val="NormalWeb"/>
        <w:spacing w:line="276" w:lineRule="auto"/>
        <w:jc w:val="both"/>
        <w:rPr>
          <w:rFonts w:ascii="Aptos" w:hAnsi="Aptos"/>
          <w:lang w:val="sq-AL"/>
        </w:rPr>
      </w:pPr>
      <w:r w:rsidRPr="00B0548A">
        <w:rPr>
          <w:rFonts w:ascii="Aptos" w:hAnsi="Aptos"/>
          <w:lang w:val="sq-AL"/>
        </w:rPr>
        <w:t>Në vijim, në këtë analizë do të prezantohet: (i) kuadri kushtetues dhe rregullator shqiptar mbi peticionet; (</w:t>
      </w:r>
      <w:proofErr w:type="spellStart"/>
      <w:r w:rsidRPr="00B0548A">
        <w:rPr>
          <w:rFonts w:ascii="Aptos" w:hAnsi="Aptos"/>
          <w:lang w:val="sq-AL"/>
        </w:rPr>
        <w:t>ii</w:t>
      </w:r>
      <w:proofErr w:type="spellEnd"/>
      <w:r w:rsidRPr="00B0548A">
        <w:rPr>
          <w:rFonts w:ascii="Aptos" w:hAnsi="Aptos"/>
          <w:lang w:val="sq-AL"/>
        </w:rPr>
        <w:t xml:space="preserve">) disa modele </w:t>
      </w:r>
      <w:r w:rsidR="00B0548A" w:rsidRPr="00B0548A">
        <w:rPr>
          <w:rFonts w:ascii="Aptos" w:hAnsi="Aptos"/>
          <w:lang w:val="sq-AL"/>
        </w:rPr>
        <w:t>evropiane</w:t>
      </w:r>
      <w:r w:rsidRPr="00B0548A">
        <w:rPr>
          <w:rFonts w:ascii="Aptos" w:hAnsi="Aptos"/>
          <w:lang w:val="sq-AL"/>
        </w:rPr>
        <w:t>, më qëllim marrjen e njohurive dhe përshtatjen e tyre me propozimet përkatëse mbi modelin shqiptar mbi peticionet; (</w:t>
      </w:r>
      <w:proofErr w:type="spellStart"/>
      <w:r w:rsidRPr="00B0548A">
        <w:rPr>
          <w:rFonts w:ascii="Aptos" w:hAnsi="Aptos"/>
          <w:lang w:val="sq-AL"/>
        </w:rPr>
        <w:t>iii</w:t>
      </w:r>
      <w:proofErr w:type="spellEnd"/>
      <w:r w:rsidRPr="00B0548A">
        <w:rPr>
          <w:rFonts w:ascii="Aptos" w:hAnsi="Aptos"/>
          <w:lang w:val="sq-AL"/>
        </w:rPr>
        <w:t>) dispozitat aktuale dhe propozimet për ndërhyrje; (</w:t>
      </w:r>
      <w:proofErr w:type="spellStart"/>
      <w:r w:rsidRPr="00B0548A">
        <w:rPr>
          <w:rFonts w:ascii="Aptos" w:hAnsi="Aptos"/>
          <w:lang w:val="sq-AL"/>
        </w:rPr>
        <w:t>iv</w:t>
      </w:r>
      <w:proofErr w:type="spellEnd"/>
      <w:r w:rsidRPr="00B0548A">
        <w:rPr>
          <w:rFonts w:ascii="Aptos" w:hAnsi="Aptos"/>
          <w:lang w:val="sq-AL"/>
        </w:rPr>
        <w:t>) Disa konkluzione paraprake.</w:t>
      </w:r>
      <w:r w:rsidRPr="00B0548A">
        <w:rPr>
          <w:rFonts w:ascii="Aptos" w:hAnsi="Aptos" w:cs="Arial"/>
          <w:vanish/>
          <w:lang w:val="sq-AL"/>
        </w:rPr>
        <w:t>Bottom of Form</w:t>
      </w:r>
    </w:p>
    <w:p w14:paraId="0967A1F5" w14:textId="77777777" w:rsidR="00E61D5B" w:rsidRPr="00B0548A" w:rsidRDefault="00E61D5B" w:rsidP="00E61D5B">
      <w:pPr>
        <w:pStyle w:val="ListParagraph"/>
        <w:numPr>
          <w:ilvl w:val="0"/>
          <w:numId w:val="54"/>
        </w:numPr>
        <w:overflowPunct/>
        <w:autoSpaceDE/>
        <w:autoSpaceDN/>
        <w:adjustRightInd/>
        <w:spacing w:before="100" w:beforeAutospacing="1" w:after="100" w:afterAutospacing="1" w:line="276" w:lineRule="auto"/>
        <w:textAlignment w:val="auto"/>
        <w:rPr>
          <w:rFonts w:ascii="Aptos" w:hAnsi="Aptos"/>
          <w:bCs/>
          <w:color w:val="4472C4" w:themeColor="accent1"/>
        </w:rPr>
      </w:pPr>
      <w:r w:rsidRPr="00B0548A">
        <w:rPr>
          <w:rFonts w:ascii="Aptos" w:hAnsi="Aptos"/>
          <w:bCs/>
          <w:color w:val="4472C4" w:themeColor="accent1"/>
        </w:rPr>
        <w:t xml:space="preserve">Kuadri kushtetues dhe rregullator </w:t>
      </w:r>
    </w:p>
    <w:p w14:paraId="67BCE621" w14:textId="77777777" w:rsidR="00E61D5B" w:rsidRPr="00B0548A" w:rsidRDefault="00E61D5B" w:rsidP="00E61D5B">
      <w:pPr>
        <w:pStyle w:val="ListParagraph"/>
        <w:spacing w:before="100" w:beforeAutospacing="1" w:after="100" w:afterAutospacing="1" w:line="276" w:lineRule="auto"/>
        <w:ind w:left="1080"/>
        <w:rPr>
          <w:rFonts w:ascii="Aptos" w:hAnsi="Aptos"/>
          <w:bCs/>
          <w:color w:val="4472C4" w:themeColor="accent1"/>
        </w:rPr>
      </w:pPr>
    </w:p>
    <w:p w14:paraId="54D56DAF" w14:textId="3377C82A" w:rsidR="00E61D5B" w:rsidRPr="00B0548A" w:rsidRDefault="00E61D5B" w:rsidP="00E61D5B">
      <w:pPr>
        <w:pStyle w:val="ListParagraph"/>
        <w:numPr>
          <w:ilvl w:val="0"/>
          <w:numId w:val="55"/>
        </w:numPr>
        <w:overflowPunct/>
        <w:autoSpaceDE/>
        <w:autoSpaceDN/>
        <w:adjustRightInd/>
        <w:spacing w:before="100" w:beforeAutospacing="1" w:after="100" w:afterAutospacing="1" w:line="276" w:lineRule="auto"/>
        <w:textAlignment w:val="auto"/>
        <w:rPr>
          <w:rFonts w:ascii="Aptos" w:hAnsi="Aptos"/>
        </w:rPr>
      </w:pPr>
      <w:r w:rsidRPr="00B0548A">
        <w:rPr>
          <w:rFonts w:ascii="Aptos" w:hAnsi="Aptos"/>
        </w:rPr>
        <w:t xml:space="preserve">Kushtetuta e Republikës së Shqipërisë, në nenin 48, përcakton të drejtën e çdo individi për t'iu drejtuar organeve publike me kërkesa, ankesa ose </w:t>
      </w:r>
      <w:r w:rsidR="00B0548A" w:rsidRPr="00B0548A">
        <w:rPr>
          <w:rFonts w:ascii="Aptos" w:hAnsi="Aptos"/>
        </w:rPr>
        <w:t>vërejtje</w:t>
      </w:r>
      <w:r w:rsidRPr="00B0548A">
        <w:rPr>
          <w:rFonts w:ascii="Aptos" w:hAnsi="Aptos"/>
        </w:rPr>
        <w:t xml:space="preserve"> organeve publike, të cilat janë të detyruara të përgjigjen në afatet dhe kushtet e parashikuara me ligj. Ky parashikim kushtetues, edhe pse jo </w:t>
      </w:r>
      <w:proofErr w:type="spellStart"/>
      <w:r w:rsidRPr="00B0548A">
        <w:rPr>
          <w:rFonts w:ascii="Aptos" w:hAnsi="Aptos"/>
        </w:rPr>
        <w:t>literalisht</w:t>
      </w:r>
      <w:proofErr w:type="spellEnd"/>
      <w:r w:rsidRPr="00B0548A">
        <w:rPr>
          <w:rFonts w:ascii="Aptos" w:hAnsi="Aptos"/>
        </w:rPr>
        <w:t xml:space="preserve"> nuk e shpreh konceptin e “peticionit”, në fakt përmes </w:t>
      </w:r>
      <w:r w:rsidR="00B0548A" w:rsidRPr="00B0548A">
        <w:rPr>
          <w:rFonts w:ascii="Aptos" w:hAnsi="Aptos"/>
        </w:rPr>
        <w:t>instrumenteve</w:t>
      </w:r>
      <w:r w:rsidRPr="00B0548A">
        <w:rPr>
          <w:rFonts w:ascii="Aptos" w:hAnsi="Aptos"/>
        </w:rPr>
        <w:t xml:space="preserve"> kushtetuese të tilla si kërkesa, ankesa, apo vërejtje, nënkupton edhe peticionin qytetar si një instrument demokratik të rëndësishëm për qytetarët, duke e bërë atë një element thelbësor të pjesëmarrjes aktive në jetën publike. Dispozita kushtetuese mbetet gjithëpërfshirëse dhe mundësuese, e drejta për të drejtuar peticione Kuvendit gjen bazën e saj normative në nenin 104 të Rregullores së Kuvendit, i cili përcakton rregullat për shqyrtimin dhe trajtimin e tyre.  </w:t>
      </w:r>
    </w:p>
    <w:p w14:paraId="1ADDA96B" w14:textId="77777777" w:rsidR="00E61D5B" w:rsidRPr="00B0548A" w:rsidRDefault="00E61D5B" w:rsidP="00E61D5B">
      <w:pPr>
        <w:pStyle w:val="ListParagraph"/>
        <w:numPr>
          <w:ilvl w:val="0"/>
          <w:numId w:val="55"/>
        </w:numPr>
        <w:overflowPunct/>
        <w:autoSpaceDE/>
        <w:autoSpaceDN/>
        <w:adjustRightInd/>
        <w:spacing w:before="100" w:beforeAutospacing="1" w:after="100" w:afterAutospacing="1" w:line="276" w:lineRule="auto"/>
        <w:textAlignment w:val="auto"/>
        <w:rPr>
          <w:rFonts w:ascii="Aptos" w:hAnsi="Aptos"/>
        </w:rPr>
      </w:pPr>
      <w:r w:rsidRPr="00B0548A">
        <w:rPr>
          <w:rFonts w:ascii="Aptos" w:hAnsi="Aptos"/>
        </w:rPr>
        <w:lastRenderedPageBreak/>
        <w:t xml:space="preserve">Neni 104 I Rregullores se Kuvendit parashikon: “1.Peticionet, të cilat i drejtohen Kuvendit, shqyrtohen nga komisionet e përhershme përkatëse. 2.Pranohen për shqyrtim peticionet, të cilat janë bërë me shkrim, kanë emrin e dërguesit dhe nënshkrimet përkatëse, janë të kuptueshme dhe tregojnë qartë objektin e tyre. 3. Peticionet dërgohen nga Kryetari i Kuvendit në komisionin e përhershëm që ka lidhje me objektin e paraqitur në peticion. Kryetari komisionit mund t’ia kthejë peticionin dërguesve për </w:t>
      </w:r>
      <w:proofErr w:type="spellStart"/>
      <w:r w:rsidRPr="00B0548A">
        <w:rPr>
          <w:rFonts w:ascii="Aptos" w:hAnsi="Aptos"/>
        </w:rPr>
        <w:t>rihartim</w:t>
      </w:r>
      <w:proofErr w:type="spellEnd"/>
      <w:r w:rsidRPr="00B0548A">
        <w:rPr>
          <w:rFonts w:ascii="Aptos" w:hAnsi="Aptos"/>
        </w:rPr>
        <w:t xml:space="preserve"> ose t’u kërkojë atyre sqarime shtesë. 4. Jo më vonë se 45 ditë nga data e marrjes së peticionit, kryetari i komisionit e paraqet peticionin në komision, duke propozuar njëkohësisht edhe mënyrën e zgjidhjes ligjore ose mospranimin e peticionit. Në rast se komisioni e gjykon të arsyeshme për zgjidhjen e çështjes, mund të autorizojë kryetarin e komisionit për të paraqitur një deklaratë në seancën plenare të Kuvendit. Hapat e ndërmarrë dhe zgjidhja e çështjes së ngritur në peticion i njoftohen dërguesve të peticionit. 5.Komisioni përgjegjës mund të vendosë dërgimin e peticionit një komisioni tjetër parlamentar, Këshillit të Ministrave, institucioneve publike dhe Avokatit të Popullit për veprime të mëtejshme, me qëllim marrjen e informacioneve. Në përfundim, komisioni jep shpjegime me shkrim, propozon nismë legjislative ose merr vendim”. Sipas këtij neni, peticioni duhet të dorëzohet në formë të shkruar, por nuk specifikohet qartazi mundësia e depozitimit të tij në rrugë elektronike nga qytetarët apo grupet e interesit. Kjo mangësi </w:t>
      </w:r>
      <w:proofErr w:type="spellStart"/>
      <w:r w:rsidRPr="00B0548A">
        <w:rPr>
          <w:rFonts w:ascii="Aptos" w:hAnsi="Aptos"/>
        </w:rPr>
        <w:t>rregullatore</w:t>
      </w:r>
      <w:proofErr w:type="spellEnd"/>
      <w:r w:rsidRPr="00B0548A">
        <w:rPr>
          <w:rFonts w:ascii="Aptos" w:hAnsi="Aptos"/>
        </w:rPr>
        <w:t xml:space="preserve"> krijon hapësirë për interpretim të ndryshëm në praktikë, duke mundësuar si zgjerimin e </w:t>
      </w:r>
      <w:proofErr w:type="spellStart"/>
      <w:r w:rsidRPr="00B0548A">
        <w:rPr>
          <w:rFonts w:ascii="Aptos" w:hAnsi="Aptos"/>
        </w:rPr>
        <w:t>aksesit</w:t>
      </w:r>
      <w:proofErr w:type="spellEnd"/>
      <w:r w:rsidRPr="00B0548A">
        <w:rPr>
          <w:rFonts w:ascii="Aptos" w:hAnsi="Aptos"/>
        </w:rPr>
        <w:t xml:space="preserve"> në procesin e </w:t>
      </w:r>
      <w:proofErr w:type="spellStart"/>
      <w:r w:rsidRPr="00B0548A">
        <w:rPr>
          <w:rFonts w:ascii="Aptos" w:hAnsi="Aptos"/>
        </w:rPr>
        <w:t>peticionimit</w:t>
      </w:r>
      <w:proofErr w:type="spellEnd"/>
      <w:r w:rsidRPr="00B0548A">
        <w:rPr>
          <w:rFonts w:ascii="Aptos" w:hAnsi="Aptos"/>
        </w:rPr>
        <w:t xml:space="preserve">, ashtu edhe kufizime të mundshme për shkak të paqartësisë normative. Për pasojë, nevoja për një rregullim të qartë mbi këtë aspekt bëhet e domosdoshme për të garantuar efektivitetin e ushtrimit të kësaj të drejte demokratike. </w:t>
      </w:r>
    </w:p>
    <w:p w14:paraId="44B9355A" w14:textId="0B5E3609" w:rsidR="00E61D5B" w:rsidRPr="00B0548A" w:rsidRDefault="00E61D5B" w:rsidP="00E61D5B">
      <w:pPr>
        <w:pStyle w:val="ListParagraph"/>
        <w:numPr>
          <w:ilvl w:val="0"/>
          <w:numId w:val="55"/>
        </w:numPr>
        <w:overflowPunct/>
        <w:autoSpaceDE/>
        <w:autoSpaceDN/>
        <w:adjustRightInd/>
        <w:spacing w:before="100" w:beforeAutospacing="1" w:after="100" w:afterAutospacing="1" w:line="276" w:lineRule="auto"/>
        <w:textAlignment w:val="auto"/>
        <w:rPr>
          <w:rFonts w:ascii="Aptos" w:hAnsi="Aptos"/>
        </w:rPr>
      </w:pPr>
      <w:r w:rsidRPr="00B0548A">
        <w:rPr>
          <w:rFonts w:ascii="Aptos" w:hAnsi="Aptos"/>
        </w:rPr>
        <w:t xml:space="preserve">Rregullat dhe praktikat parlamentare aktuale nuk sigurojnë një proces të rregullt procedural për dërguesit e peticionit, duke mos garantuar elementë thelbësorë si: e drejta për një hetim dhe shqyrtim efektiv, e drejta për t’u dëgjuar dhe e drejta për të marrë njoftim mbi vendimmarrjen përkatëse parlamentare brenda një afati të përcaktuar. Një mangësi tjetër e rregullimit aktual lidhet me mungesën e një afati maksimal për shqyrtimin dhe marrjen e një vendimi përfundimtar mbi peticionet. Kjo dispozitë </w:t>
      </w:r>
      <w:r w:rsidR="00B0548A" w:rsidRPr="00B0548A">
        <w:rPr>
          <w:rFonts w:ascii="Aptos" w:hAnsi="Aptos"/>
        </w:rPr>
        <w:t>përcakton</w:t>
      </w:r>
      <w:r w:rsidRPr="00B0548A">
        <w:rPr>
          <w:rFonts w:ascii="Aptos" w:hAnsi="Aptos"/>
        </w:rPr>
        <w:t xml:space="preserve"> vetëm një afat 45-ditor për kryetarin e komisionit për të paraqitur peticionin dhe propozimin për zgjidhjen e tij. Ky afat, përveçse relativisht i gjatë, mbulon vetëm një fazë të shqyrtimit të peticionit, duke mos përcaktuar kufizime të tjera kohore për hapat vijues, si p.sh., koha e paraqitjes së peticionit në seancë plenare ose njoftimi i dërguesit mbi trajtimin e kërkesës së tij. Kjo mungesë </w:t>
      </w:r>
      <w:proofErr w:type="spellStart"/>
      <w:r w:rsidRPr="00B0548A">
        <w:rPr>
          <w:rFonts w:ascii="Aptos" w:hAnsi="Aptos"/>
        </w:rPr>
        <w:t>rregullatore</w:t>
      </w:r>
      <w:proofErr w:type="spellEnd"/>
      <w:r w:rsidRPr="00B0548A">
        <w:rPr>
          <w:rFonts w:ascii="Aptos" w:hAnsi="Aptos"/>
        </w:rPr>
        <w:t xml:space="preserve"> krijon paqartësi në procesin e shqyrtimit të peticioneve, duke ndikuar potencialisht në efektivitetin e ushtrimit të kësaj të drejte nga qytetarët, duke </w:t>
      </w:r>
      <w:proofErr w:type="spellStart"/>
      <w:r w:rsidRPr="00B0548A">
        <w:rPr>
          <w:rFonts w:ascii="Aptos" w:hAnsi="Aptos"/>
        </w:rPr>
        <w:t>passjellë</w:t>
      </w:r>
      <w:proofErr w:type="spellEnd"/>
      <w:r w:rsidRPr="00B0548A">
        <w:rPr>
          <w:rFonts w:ascii="Aptos" w:hAnsi="Aptos"/>
        </w:rPr>
        <w:t xml:space="preserve"> vonesa të tilla të procesit, që mund ta bëjnë atë të padobishëm në kuptim të rezultateve që kërkon të arrijë.</w:t>
      </w:r>
    </w:p>
    <w:p w14:paraId="1040A27A" w14:textId="77777777" w:rsidR="00E61D5B" w:rsidRPr="00B0548A" w:rsidRDefault="00E61D5B" w:rsidP="00E61D5B">
      <w:pPr>
        <w:pStyle w:val="ListParagraph"/>
        <w:numPr>
          <w:ilvl w:val="0"/>
          <w:numId w:val="55"/>
        </w:numPr>
        <w:overflowPunct/>
        <w:autoSpaceDE/>
        <w:autoSpaceDN/>
        <w:adjustRightInd/>
        <w:spacing w:before="100" w:beforeAutospacing="1" w:after="100" w:afterAutospacing="1" w:line="276" w:lineRule="auto"/>
        <w:textAlignment w:val="auto"/>
        <w:rPr>
          <w:rFonts w:ascii="Aptos" w:hAnsi="Aptos"/>
        </w:rPr>
      </w:pPr>
      <w:r w:rsidRPr="00B0548A">
        <w:rPr>
          <w:rFonts w:ascii="Aptos" w:hAnsi="Aptos"/>
        </w:rPr>
        <w:t xml:space="preserve">Dispozita aktuale e Rregullores nuk përcakton qartazi detyrimin që vendimmarrja e Komisionit Parlamentar (nuk ka një Komision Përgjegjës për Peticionet) t’i nënshtrohet debatit parlamentar ose diskutimit dhe/ose votimit në seancë plenare. Kjo mangësi mund të ndikojë në transparencën dhe llogaridhënien e procesit parlamentar në raport me kërkesat qytetare, duke </w:t>
      </w:r>
      <w:r w:rsidRPr="00B0548A">
        <w:rPr>
          <w:rFonts w:ascii="Aptos" w:hAnsi="Aptos"/>
        </w:rPr>
        <w:lastRenderedPageBreak/>
        <w:t>krijuar paqartësi nëse shqyrtimi i peticioneve do të marrë vëmendjen dhe seriozitetin e duhur nga organi legjislativ.</w:t>
      </w:r>
    </w:p>
    <w:p w14:paraId="1AA5E190" w14:textId="4A8522ED" w:rsidR="00E61D5B" w:rsidRPr="00B0548A" w:rsidRDefault="00E61D5B" w:rsidP="00E61D5B">
      <w:pPr>
        <w:pStyle w:val="ListParagraph"/>
        <w:numPr>
          <w:ilvl w:val="0"/>
          <w:numId w:val="55"/>
        </w:numPr>
        <w:overflowPunct/>
        <w:autoSpaceDE/>
        <w:autoSpaceDN/>
        <w:adjustRightInd/>
        <w:spacing w:before="100" w:beforeAutospacing="1" w:after="100" w:afterAutospacing="1" w:line="276" w:lineRule="auto"/>
        <w:textAlignment w:val="auto"/>
        <w:rPr>
          <w:rFonts w:ascii="Aptos" w:hAnsi="Aptos"/>
        </w:rPr>
      </w:pPr>
      <w:r w:rsidRPr="00B0548A">
        <w:rPr>
          <w:rFonts w:ascii="Aptos" w:hAnsi="Aptos"/>
        </w:rPr>
        <w:t xml:space="preserve">Po ashtu, në dispozitë mungojnë kritere të qarta mbi </w:t>
      </w:r>
      <w:proofErr w:type="spellStart"/>
      <w:r w:rsidRPr="00B0548A">
        <w:rPr>
          <w:rFonts w:ascii="Aptos" w:hAnsi="Aptos"/>
        </w:rPr>
        <w:t>pranueshmërinë</w:t>
      </w:r>
      <w:proofErr w:type="spellEnd"/>
      <w:r w:rsidRPr="00B0548A">
        <w:rPr>
          <w:rFonts w:ascii="Aptos" w:hAnsi="Aptos"/>
        </w:rPr>
        <w:t xml:space="preserve"> e peticionit, mbi shqyrtimin në themel të tij, mbi njoftimin e palëve për çdo lloj rezultati gjatë procesit, për publikimin e konkluzioneve pas shqyrtimit të peticionit, të gjitha hapa dhe faza procedurale që mund të krijojnë sfida në garantimin e trajtimit efektiv të këtyre peticioneve dhe realizimin e të drejtës themelore kushtetuese të qytetarëve për </w:t>
      </w:r>
      <w:r w:rsidR="00B0548A" w:rsidRPr="00B0548A">
        <w:rPr>
          <w:rFonts w:ascii="Aptos" w:hAnsi="Aptos"/>
        </w:rPr>
        <w:t>pjesëmarrje</w:t>
      </w:r>
      <w:r w:rsidRPr="00B0548A">
        <w:rPr>
          <w:rFonts w:ascii="Aptos" w:hAnsi="Aptos"/>
        </w:rPr>
        <w:t xml:space="preserve"> në vendimmarrje të organeve të administratës publike. </w:t>
      </w:r>
    </w:p>
    <w:p w14:paraId="68CB107A" w14:textId="77777777" w:rsidR="00E61D5B" w:rsidRPr="00B0548A" w:rsidRDefault="00E61D5B" w:rsidP="00E61D5B">
      <w:pPr>
        <w:pStyle w:val="ListParagraph"/>
        <w:numPr>
          <w:ilvl w:val="0"/>
          <w:numId w:val="55"/>
        </w:numPr>
        <w:overflowPunct/>
        <w:autoSpaceDE/>
        <w:autoSpaceDN/>
        <w:adjustRightInd/>
        <w:spacing w:before="100" w:beforeAutospacing="1" w:after="100" w:afterAutospacing="1" w:line="276" w:lineRule="auto"/>
        <w:textAlignment w:val="auto"/>
        <w:rPr>
          <w:rFonts w:ascii="Aptos" w:hAnsi="Aptos"/>
        </w:rPr>
      </w:pPr>
      <w:r w:rsidRPr="00B0548A">
        <w:rPr>
          <w:rFonts w:ascii="Aptos" w:hAnsi="Aptos"/>
        </w:rPr>
        <w:t xml:space="preserve">Në përputhje me pikën 3.1 të Manualit të Pjesëmarrjes së Publikut në Procesin Vendimmarrës të Kuvendit, i miratuar nga Byroja e Kuvendit me Vendimin Nr. 20, datë 20.05.2022, një nga format e propozimit të nismave legjislative është edhe përmes peticioneve. </w:t>
      </w:r>
    </w:p>
    <w:p w14:paraId="5143F6E1" w14:textId="77777777" w:rsidR="00E61D5B" w:rsidRPr="00B0548A" w:rsidRDefault="00E61D5B" w:rsidP="00E61D5B">
      <w:pPr>
        <w:pStyle w:val="ListParagraph"/>
        <w:numPr>
          <w:ilvl w:val="0"/>
          <w:numId w:val="55"/>
        </w:numPr>
        <w:overflowPunct/>
        <w:autoSpaceDE/>
        <w:autoSpaceDN/>
        <w:adjustRightInd/>
        <w:spacing w:before="100" w:beforeAutospacing="1" w:after="100" w:afterAutospacing="1" w:line="276" w:lineRule="auto"/>
        <w:textAlignment w:val="auto"/>
        <w:rPr>
          <w:rFonts w:ascii="Aptos" w:hAnsi="Aptos"/>
        </w:rPr>
      </w:pPr>
      <w:r w:rsidRPr="00B0548A">
        <w:rPr>
          <w:rFonts w:ascii="Aptos" w:hAnsi="Aptos"/>
        </w:rPr>
        <w:t xml:space="preserve">Në bazë të pikës 6.3 të Manualit të Pjesëmarrjes së Publikut në Procesin Vendimmarrës të Kuvendit, Regjistri i peticioneve përmban të gjitha të dhënat që Kuvendi disponon lidhur me peticionet që i drejtohen institucionit, si dhe statusin e tyre gjatë shqyrtimit nga komisionet parlamentare. Çdo peticion dorëzohet në Kuvend dhe i drejtohet Kryetarit të Kuvendit, i cili e përcjell menjëherë për shqyrtim tek komisioni parlamentar përkatës. Administrata e komisionit parlamentar vlerëson nëse peticioni përmbush kriteret formale dhe materiale. Në rast se këto kritere nuk plotësohen, peticioni mund t’i kthehet dërguesit për plotësim ose rishikim. Kryetari i komisionit parlamentar ka detyrimin që, brenda 45 ditësh nga dorëzimi, ta paraqesë çështjen për diskutim në komision dhe të propozojë një zgjidhje ligjore për të. Gjatë këtij procesi, të gjithë hapat e ndërmarrë dhe zgjidhja e propozuar u bëhen me dije dërguesve të peticionit. Në varësi të natyrës së çështjes së trajtuar, komisioni parlamentar mund të vendosë ta përcjellë peticionin për shqyrtim edhe në institucione të tjera, si një komision tjetër parlamentar, Këshillin e Ministrave, Avokatin e Popullit apo institucione të tjera publike. Në raste të caktuara, komisioni parlamentar mund të autorizojë </w:t>
      </w:r>
      <w:r w:rsidRPr="00B0548A">
        <w:rPr>
          <w:rFonts w:ascii="Aptos" w:hAnsi="Aptos"/>
          <w:u w:val="single"/>
        </w:rPr>
        <w:t>Kryetarin e Komisionit që të paraqesë një deklaratë në seancë plenare lidhur me çështjen e ngritur. Në përfundim të procesit, komisioni mund të ofrojë një shpjegim me shkrim, të marrë një vendim ose të propozojë një projektligj si zgjidhje për çështjen e adresuar në peticion.</w:t>
      </w:r>
    </w:p>
    <w:p w14:paraId="3762F86B" w14:textId="77777777" w:rsidR="00E61D5B" w:rsidRPr="00B0548A" w:rsidRDefault="00E61D5B" w:rsidP="00E61D5B">
      <w:pPr>
        <w:pStyle w:val="ListParagraph"/>
        <w:spacing w:before="100" w:beforeAutospacing="1" w:after="100" w:afterAutospacing="1" w:line="276" w:lineRule="auto"/>
        <w:ind w:left="360"/>
        <w:rPr>
          <w:rFonts w:ascii="Aptos" w:hAnsi="Aptos"/>
        </w:rPr>
      </w:pPr>
    </w:p>
    <w:p w14:paraId="6AE1032D" w14:textId="77777777" w:rsidR="00E61D5B" w:rsidRPr="00B0548A" w:rsidRDefault="00E61D5B" w:rsidP="00E61D5B">
      <w:pPr>
        <w:pStyle w:val="ListParagraph"/>
        <w:numPr>
          <w:ilvl w:val="0"/>
          <w:numId w:val="54"/>
        </w:numPr>
        <w:overflowPunct/>
        <w:autoSpaceDE/>
        <w:autoSpaceDN/>
        <w:adjustRightInd/>
        <w:spacing w:before="100" w:beforeAutospacing="1" w:after="100" w:afterAutospacing="1" w:line="276" w:lineRule="auto"/>
        <w:textAlignment w:val="auto"/>
        <w:rPr>
          <w:rFonts w:ascii="Aptos" w:hAnsi="Aptos"/>
          <w:bCs/>
          <w:color w:val="4472C4" w:themeColor="accent1"/>
        </w:rPr>
      </w:pPr>
      <w:r w:rsidRPr="00B0548A">
        <w:rPr>
          <w:rFonts w:ascii="Aptos" w:hAnsi="Aptos"/>
          <w:bCs/>
          <w:color w:val="4472C4" w:themeColor="accent1"/>
        </w:rPr>
        <w:t xml:space="preserve">Prezantimi i disa modeleve </w:t>
      </w:r>
      <w:proofErr w:type="spellStart"/>
      <w:r w:rsidRPr="00B0548A">
        <w:rPr>
          <w:rFonts w:ascii="Aptos" w:hAnsi="Aptos"/>
          <w:bCs/>
          <w:color w:val="4472C4" w:themeColor="accent1"/>
        </w:rPr>
        <w:t>europiane</w:t>
      </w:r>
      <w:proofErr w:type="spellEnd"/>
    </w:p>
    <w:p w14:paraId="5543BB2D" w14:textId="77777777" w:rsidR="00E61D5B" w:rsidRPr="00B0548A" w:rsidRDefault="00E61D5B" w:rsidP="00E61D5B">
      <w:pPr>
        <w:spacing w:before="100" w:beforeAutospacing="1" w:after="100" w:afterAutospacing="1" w:line="276" w:lineRule="auto"/>
        <w:rPr>
          <w:rFonts w:ascii="Aptos" w:hAnsi="Aptos"/>
          <w:bCs/>
        </w:rPr>
      </w:pPr>
      <w:r w:rsidRPr="00B0548A">
        <w:rPr>
          <w:rFonts w:ascii="Aptos" w:hAnsi="Aptos"/>
          <w:bCs/>
        </w:rPr>
        <w:t>Në lidhje me peticionin qytetar, ofrohen disa modele legjislative. Në vazhdim, ofrohen këto modele, duke evidentuar dhe dallimet  në vështrim krahasues me modelin shqiptar.</w:t>
      </w:r>
    </w:p>
    <w:p w14:paraId="2270817F" w14:textId="77777777" w:rsidR="00E61D5B" w:rsidRPr="00B0548A" w:rsidRDefault="00E61D5B" w:rsidP="00E61D5B">
      <w:pPr>
        <w:pStyle w:val="ListParagraph"/>
        <w:numPr>
          <w:ilvl w:val="0"/>
          <w:numId w:val="56"/>
        </w:numPr>
        <w:overflowPunct/>
        <w:autoSpaceDE/>
        <w:autoSpaceDN/>
        <w:adjustRightInd/>
        <w:spacing w:before="100" w:beforeAutospacing="1" w:after="100" w:afterAutospacing="1" w:line="276" w:lineRule="auto"/>
        <w:textAlignment w:val="auto"/>
        <w:rPr>
          <w:rFonts w:ascii="Aptos" w:hAnsi="Aptos"/>
          <w:bCs/>
        </w:rPr>
      </w:pPr>
      <w:r w:rsidRPr="00B0548A">
        <w:rPr>
          <w:rFonts w:ascii="Aptos" w:hAnsi="Aptos"/>
          <w:bCs/>
        </w:rPr>
        <w:t>Modeli Gjerman</w:t>
      </w:r>
    </w:p>
    <w:p w14:paraId="512497F0" w14:textId="77777777" w:rsidR="00E61D5B" w:rsidRPr="00B0548A" w:rsidRDefault="00E61D5B" w:rsidP="00E61D5B">
      <w:pPr>
        <w:pStyle w:val="NormalWeb"/>
        <w:spacing w:line="276" w:lineRule="auto"/>
        <w:jc w:val="both"/>
        <w:rPr>
          <w:rFonts w:ascii="Aptos" w:hAnsi="Aptos"/>
          <w:lang w:val="sq-AL"/>
        </w:rPr>
      </w:pPr>
      <w:r w:rsidRPr="00B0548A">
        <w:rPr>
          <w:rFonts w:ascii="Aptos" w:hAnsi="Aptos"/>
          <w:lang w:val="sq-AL"/>
        </w:rPr>
        <w:t>Kushtetuta Gjermane (</w:t>
      </w:r>
      <w:proofErr w:type="spellStart"/>
      <w:r w:rsidRPr="00B0548A">
        <w:rPr>
          <w:rFonts w:ascii="Aptos" w:hAnsi="Aptos"/>
          <w:lang w:val="sq-AL"/>
        </w:rPr>
        <w:t>Grundgesetz</w:t>
      </w:r>
      <w:proofErr w:type="spellEnd"/>
      <w:r w:rsidRPr="00B0548A">
        <w:rPr>
          <w:rFonts w:ascii="Aptos" w:hAnsi="Aptos"/>
          <w:lang w:val="sq-AL"/>
        </w:rPr>
        <w:t xml:space="preserve">), e cila parashikon mundësinë që çdo individ apo grup të drejtojë peticione ndaj autoriteteve shtetërore dhe Bundestagut (Parlamentit Federal). Ky rregullim përfshin jo vetëm të drejtën për të paraqitur një peticion, por edhe detyrimin e </w:t>
      </w:r>
      <w:r w:rsidRPr="00B0548A">
        <w:rPr>
          <w:rFonts w:ascii="Aptos" w:hAnsi="Aptos"/>
          <w:lang w:val="sq-AL"/>
        </w:rPr>
        <w:lastRenderedPageBreak/>
        <w:t>institucioneve për të shqyrtuar dhe dhënë një përgjigje të arsyetuar.</w:t>
      </w:r>
      <w:r w:rsidRPr="00B0548A">
        <w:rPr>
          <w:rStyle w:val="FootnoteReference"/>
          <w:rFonts w:ascii="Aptos" w:eastAsiaTheme="majorEastAsia" w:hAnsi="Aptos"/>
          <w:lang w:val="sq-AL"/>
        </w:rPr>
        <w:footnoteReference w:id="2"/>
      </w:r>
      <w:r w:rsidRPr="00B0548A">
        <w:rPr>
          <w:rFonts w:ascii="Aptos" w:hAnsi="Aptos"/>
          <w:lang w:val="sq-AL"/>
        </w:rPr>
        <w:t xml:space="preserve">  Bundestagu Gjerman ka krijuar një organ të posaçëm për trajtimin e peticioneve: </w:t>
      </w:r>
      <w:r w:rsidRPr="00B0548A">
        <w:rPr>
          <w:rFonts w:ascii="Aptos" w:hAnsi="Aptos"/>
          <w:bCs/>
          <w:lang w:val="sq-AL"/>
        </w:rPr>
        <w:t>Komitetin e Posaçëm të Peticioneve</w:t>
      </w:r>
      <w:r w:rsidRPr="00B0548A">
        <w:rPr>
          <w:rFonts w:ascii="Aptos" w:hAnsi="Aptos"/>
          <w:lang w:val="sq-AL"/>
        </w:rPr>
        <w:t xml:space="preserve"> (</w:t>
      </w:r>
      <w:proofErr w:type="spellStart"/>
      <w:r w:rsidRPr="00B0548A">
        <w:rPr>
          <w:rFonts w:ascii="Aptos" w:hAnsi="Aptos"/>
          <w:lang w:val="sq-AL"/>
        </w:rPr>
        <w:t>Petitionsausschuss</w:t>
      </w:r>
      <w:proofErr w:type="spellEnd"/>
      <w:r w:rsidRPr="00B0548A">
        <w:rPr>
          <w:rFonts w:ascii="Aptos" w:hAnsi="Aptos"/>
          <w:lang w:val="sq-AL"/>
        </w:rPr>
        <w:t xml:space="preserve">), i cili ka kompetenca të plota për shqyrtimin e kërkesave të qytetarëve. Për një kuptim më të thellë të këtij procesi, "Parimet kryesore të Komitetit të Peticioneve për shqyrtimin e kërkesave dhe ankesave" ofrojnë një rregullim të detajuar. Këto parime përkufizojnë peticionin si një parashtrim në formën e kërkesës apo ankesës, që mund të paraqitet në emër të dikujt, për palë të treta ose në interes të përgjithshëm. Kërkesat mund të adresojnë nevoja ose propozime për ndryshime ligjore ose administrative. Komiteti i Peticioneve është i detyruar të paraqesë në Bundestag raporte mujore që përfshijnë një listë të peticioneve të shqyrtuara, së bashku me rekomandimet për secilin prej tyre. Gjithashtu, ky komitet dorëzon raporte vjetore mbi veprimtarinë e tij, të cilat shpërndahen te të gjithë anëtarët e Bundestagut dhe vendosen në rendin e ditës brenda tri javëve nga shpërndarja. Debati në seancë plenare mbi këto raporte zhvillohet nëse kërkohet nga një grup parlamentar ose nga 5% e anëtarëve të Bundestagut. Për më tepër, dërguesi i peticionit informohet për vendimin e marrë dhe arsyet e tij. </w:t>
      </w:r>
    </w:p>
    <w:p w14:paraId="03E5B1E0" w14:textId="77777777" w:rsidR="00E61D5B" w:rsidRPr="00B0548A" w:rsidRDefault="00E61D5B" w:rsidP="00E61D5B">
      <w:pPr>
        <w:pStyle w:val="NormalWeb"/>
        <w:spacing w:line="276" w:lineRule="auto"/>
        <w:jc w:val="both"/>
        <w:rPr>
          <w:rFonts w:ascii="Aptos" w:hAnsi="Aptos"/>
          <w:lang w:val="sq-AL"/>
        </w:rPr>
      </w:pPr>
      <w:r w:rsidRPr="00B0548A">
        <w:rPr>
          <w:rFonts w:ascii="Aptos" w:hAnsi="Aptos"/>
          <w:lang w:val="sq-AL"/>
        </w:rPr>
        <w:t>Ky komitet/komision ka disa funksione të rëndësishme ( neni/rregulli 108):</w:t>
      </w:r>
    </w:p>
    <w:p w14:paraId="1DE59021" w14:textId="77777777" w:rsidR="00E61D5B" w:rsidRPr="00B0548A" w:rsidRDefault="00E61D5B" w:rsidP="00E61D5B">
      <w:pPr>
        <w:numPr>
          <w:ilvl w:val="0"/>
          <w:numId w:val="44"/>
        </w:numPr>
        <w:overflowPunct/>
        <w:autoSpaceDE/>
        <w:autoSpaceDN/>
        <w:adjustRightInd/>
        <w:spacing w:before="100" w:beforeAutospacing="1" w:after="100" w:afterAutospacing="1" w:line="276" w:lineRule="auto"/>
        <w:textAlignment w:val="auto"/>
        <w:rPr>
          <w:rFonts w:ascii="Aptos" w:hAnsi="Aptos"/>
        </w:rPr>
      </w:pPr>
      <w:r w:rsidRPr="00B0548A">
        <w:rPr>
          <w:rStyle w:val="Strong"/>
          <w:rFonts w:ascii="Aptos" w:eastAsiaTheme="majorEastAsia" w:hAnsi="Aptos"/>
        </w:rPr>
        <w:t>Shqyrtimi i Peticioneve</w:t>
      </w:r>
      <w:r w:rsidRPr="00B0548A">
        <w:rPr>
          <w:rFonts w:ascii="Aptos" w:hAnsi="Aptos"/>
        </w:rPr>
        <w:t xml:space="preserve"> – Pasi një peticion paraqitet, komisioni e analizon atë dhe mund të kërkojë sqarime nga administrata ose institucionet përkatëse.</w:t>
      </w:r>
    </w:p>
    <w:p w14:paraId="0AD70CD8" w14:textId="77777777" w:rsidR="00E61D5B" w:rsidRPr="00B0548A" w:rsidRDefault="00E61D5B" w:rsidP="00E61D5B">
      <w:pPr>
        <w:numPr>
          <w:ilvl w:val="0"/>
          <w:numId w:val="44"/>
        </w:numPr>
        <w:overflowPunct/>
        <w:autoSpaceDE/>
        <w:autoSpaceDN/>
        <w:adjustRightInd/>
        <w:spacing w:before="100" w:beforeAutospacing="1" w:after="100" w:afterAutospacing="1" w:line="276" w:lineRule="auto"/>
        <w:textAlignment w:val="auto"/>
        <w:rPr>
          <w:rFonts w:ascii="Aptos" w:hAnsi="Aptos"/>
        </w:rPr>
      </w:pPr>
      <w:r w:rsidRPr="00B0548A">
        <w:rPr>
          <w:rStyle w:val="Strong"/>
          <w:rFonts w:ascii="Aptos" w:eastAsiaTheme="majorEastAsia" w:hAnsi="Aptos"/>
        </w:rPr>
        <w:t>Propozimi i Ndryshimeve Ligjore</w:t>
      </w:r>
      <w:r w:rsidRPr="00B0548A">
        <w:rPr>
          <w:rFonts w:ascii="Aptos" w:hAnsi="Aptos"/>
        </w:rPr>
        <w:t xml:space="preserve"> – Nëse një peticion ka rëndësi të gjerë dhe mbështetet nga shumë qytetarë, komisioni mund të bëjë rekomandime për ndryshime në ligje ose rregullore.</w:t>
      </w:r>
    </w:p>
    <w:p w14:paraId="77147F8D" w14:textId="77777777" w:rsidR="00E61D5B" w:rsidRPr="00B0548A" w:rsidRDefault="00E61D5B" w:rsidP="00E61D5B">
      <w:pPr>
        <w:numPr>
          <w:ilvl w:val="0"/>
          <w:numId w:val="44"/>
        </w:numPr>
        <w:overflowPunct/>
        <w:autoSpaceDE/>
        <w:autoSpaceDN/>
        <w:adjustRightInd/>
        <w:spacing w:before="100" w:beforeAutospacing="1" w:after="100" w:afterAutospacing="1" w:line="276" w:lineRule="auto"/>
        <w:textAlignment w:val="auto"/>
        <w:rPr>
          <w:rFonts w:ascii="Aptos" w:hAnsi="Aptos"/>
        </w:rPr>
      </w:pPr>
      <w:r w:rsidRPr="00B0548A">
        <w:rPr>
          <w:rStyle w:val="Strong"/>
          <w:rFonts w:ascii="Aptos" w:eastAsiaTheme="majorEastAsia" w:hAnsi="Aptos"/>
        </w:rPr>
        <w:t>Ndërmjetësimi me Autoritetet</w:t>
      </w:r>
      <w:r w:rsidRPr="00B0548A">
        <w:rPr>
          <w:rFonts w:ascii="Aptos" w:hAnsi="Aptos"/>
        </w:rPr>
        <w:t xml:space="preserve"> – Në raste të caktuara, peticionet mund të çojnë në hetime të mëtejshme ose në kontakt të drejtpërdrejtë me institucionet e përfshira për të zgjidhur çështjen e ngritur.</w:t>
      </w:r>
    </w:p>
    <w:p w14:paraId="686E3031" w14:textId="77777777" w:rsidR="00E61D5B" w:rsidRPr="00B0548A" w:rsidRDefault="00E61D5B" w:rsidP="00E61D5B">
      <w:pPr>
        <w:numPr>
          <w:ilvl w:val="0"/>
          <w:numId w:val="44"/>
        </w:numPr>
        <w:overflowPunct/>
        <w:autoSpaceDE/>
        <w:autoSpaceDN/>
        <w:adjustRightInd/>
        <w:spacing w:before="100" w:beforeAutospacing="1" w:after="100" w:afterAutospacing="1" w:line="276" w:lineRule="auto"/>
        <w:textAlignment w:val="auto"/>
        <w:rPr>
          <w:rFonts w:ascii="Aptos" w:hAnsi="Aptos"/>
        </w:rPr>
      </w:pPr>
      <w:r w:rsidRPr="00B0548A">
        <w:rPr>
          <w:rStyle w:val="Strong"/>
          <w:rFonts w:ascii="Aptos" w:eastAsiaTheme="majorEastAsia" w:hAnsi="Aptos"/>
        </w:rPr>
        <w:t>Transparenca dhe Përfshirja e Publikut</w:t>
      </w:r>
      <w:r w:rsidRPr="00B0548A">
        <w:rPr>
          <w:rFonts w:ascii="Aptos" w:hAnsi="Aptos"/>
        </w:rPr>
        <w:t xml:space="preserve"> – Disa peticione, veçanërisht ato me interes të madh publik, mund të publikohen në platformën </w:t>
      </w:r>
      <w:proofErr w:type="spellStart"/>
      <w:r w:rsidRPr="00B0548A">
        <w:rPr>
          <w:rFonts w:ascii="Aptos" w:hAnsi="Aptos"/>
        </w:rPr>
        <w:t>online</w:t>
      </w:r>
      <w:proofErr w:type="spellEnd"/>
      <w:r w:rsidRPr="00B0548A">
        <w:rPr>
          <w:rFonts w:ascii="Aptos" w:hAnsi="Aptos"/>
        </w:rPr>
        <w:t xml:space="preserve"> të Bundestagut, duke i lejuar qytetarët të shprehin mbështetjen e tyre përmes nënshkrimeve digjitale.</w:t>
      </w:r>
    </w:p>
    <w:p w14:paraId="663BBE43" w14:textId="77777777" w:rsidR="00E61D5B" w:rsidRPr="00B0548A" w:rsidRDefault="00E61D5B" w:rsidP="00E61D5B">
      <w:pPr>
        <w:spacing w:before="100" w:beforeAutospacing="1" w:after="100" w:afterAutospacing="1" w:line="276" w:lineRule="auto"/>
        <w:rPr>
          <w:rFonts w:ascii="Aptos" w:hAnsi="Aptos"/>
        </w:rPr>
      </w:pPr>
      <w:r w:rsidRPr="00B0548A">
        <w:rPr>
          <w:rFonts w:ascii="Aptos" w:hAnsi="Aptos"/>
        </w:rPr>
        <w:t>Ky komitet/ komision ndjek një sërë hapash proceduralë për shqyrtimin e peticioneve, përfshirë:</w:t>
      </w:r>
    </w:p>
    <w:p w14:paraId="1CFEF0DA" w14:textId="77777777" w:rsidR="00E61D5B" w:rsidRPr="00B0548A" w:rsidRDefault="00E61D5B" w:rsidP="00E61D5B">
      <w:pPr>
        <w:numPr>
          <w:ilvl w:val="0"/>
          <w:numId w:val="43"/>
        </w:numPr>
        <w:overflowPunct/>
        <w:autoSpaceDE/>
        <w:autoSpaceDN/>
        <w:adjustRightInd/>
        <w:spacing w:before="100" w:beforeAutospacing="1" w:after="100" w:afterAutospacing="1" w:line="276" w:lineRule="auto"/>
        <w:textAlignment w:val="auto"/>
        <w:rPr>
          <w:rFonts w:ascii="Aptos" w:hAnsi="Aptos"/>
        </w:rPr>
      </w:pPr>
      <w:r w:rsidRPr="00B0548A">
        <w:rPr>
          <w:rFonts w:ascii="Aptos" w:hAnsi="Aptos"/>
          <w:bCs/>
        </w:rPr>
        <w:lastRenderedPageBreak/>
        <w:t>Regjistrimin dhe shqyrtimin fillestar</w:t>
      </w:r>
      <w:r w:rsidRPr="00B0548A">
        <w:rPr>
          <w:rFonts w:ascii="Aptos" w:hAnsi="Aptos"/>
        </w:rPr>
        <w:t xml:space="preserve"> të peticionit për të vlerësuar vlefshmërinë e tij.</w:t>
      </w:r>
    </w:p>
    <w:p w14:paraId="7B6A8CDF" w14:textId="77777777" w:rsidR="00E61D5B" w:rsidRPr="00B0548A" w:rsidRDefault="00E61D5B" w:rsidP="00E61D5B">
      <w:pPr>
        <w:numPr>
          <w:ilvl w:val="0"/>
          <w:numId w:val="43"/>
        </w:numPr>
        <w:overflowPunct/>
        <w:autoSpaceDE/>
        <w:autoSpaceDN/>
        <w:adjustRightInd/>
        <w:spacing w:before="100" w:beforeAutospacing="1" w:after="100" w:afterAutospacing="1" w:line="276" w:lineRule="auto"/>
        <w:textAlignment w:val="auto"/>
        <w:rPr>
          <w:rFonts w:ascii="Aptos" w:hAnsi="Aptos"/>
        </w:rPr>
      </w:pPr>
      <w:r w:rsidRPr="00B0548A">
        <w:rPr>
          <w:rFonts w:ascii="Aptos" w:hAnsi="Aptos"/>
          <w:bCs/>
        </w:rPr>
        <w:t>Hetimin administrativ</w:t>
      </w:r>
      <w:r w:rsidRPr="00B0548A">
        <w:rPr>
          <w:rFonts w:ascii="Aptos" w:hAnsi="Aptos"/>
        </w:rPr>
        <w:t>, i cili përfshin grumbullimin e të dhënave, konsultimin me institucionet përkatëse dhe analizën e përmbajtjes së peticionit.</w:t>
      </w:r>
    </w:p>
    <w:p w14:paraId="41AB3143" w14:textId="77777777" w:rsidR="00E61D5B" w:rsidRPr="00B0548A" w:rsidRDefault="00E61D5B" w:rsidP="00E61D5B">
      <w:pPr>
        <w:numPr>
          <w:ilvl w:val="0"/>
          <w:numId w:val="43"/>
        </w:numPr>
        <w:overflowPunct/>
        <w:autoSpaceDE/>
        <w:autoSpaceDN/>
        <w:adjustRightInd/>
        <w:spacing w:before="100" w:beforeAutospacing="1" w:after="100" w:afterAutospacing="1" w:line="276" w:lineRule="auto"/>
        <w:textAlignment w:val="auto"/>
        <w:rPr>
          <w:rFonts w:ascii="Aptos" w:hAnsi="Aptos"/>
        </w:rPr>
      </w:pPr>
      <w:r w:rsidRPr="00B0548A">
        <w:rPr>
          <w:rFonts w:ascii="Aptos" w:hAnsi="Aptos"/>
          <w:bCs/>
        </w:rPr>
        <w:t>Vendimmarrjen</w:t>
      </w:r>
      <w:r w:rsidRPr="00B0548A">
        <w:rPr>
          <w:rFonts w:ascii="Aptos" w:hAnsi="Aptos"/>
        </w:rPr>
        <w:t xml:space="preserve"> mbi pranimin apo refuzimin e peticionit, e cila pasohet me një përgjigje të arsyetuar për paraqitësin e peticionit.</w:t>
      </w:r>
    </w:p>
    <w:p w14:paraId="5F8DA0B1" w14:textId="77777777" w:rsidR="00E61D5B" w:rsidRPr="00B0548A" w:rsidRDefault="00E61D5B" w:rsidP="00E61D5B">
      <w:pPr>
        <w:numPr>
          <w:ilvl w:val="0"/>
          <w:numId w:val="43"/>
        </w:numPr>
        <w:overflowPunct/>
        <w:autoSpaceDE/>
        <w:autoSpaceDN/>
        <w:adjustRightInd/>
        <w:spacing w:before="100" w:beforeAutospacing="1" w:after="100" w:afterAutospacing="1" w:line="276" w:lineRule="auto"/>
        <w:textAlignment w:val="auto"/>
        <w:rPr>
          <w:rFonts w:ascii="Aptos" w:hAnsi="Aptos"/>
        </w:rPr>
      </w:pPr>
      <w:r w:rsidRPr="00B0548A">
        <w:rPr>
          <w:rFonts w:ascii="Aptos" w:hAnsi="Aptos"/>
          <w:bCs/>
        </w:rPr>
        <w:t>Transparencën dhe raportimin</w:t>
      </w:r>
      <w:r w:rsidRPr="00B0548A">
        <w:rPr>
          <w:rFonts w:ascii="Aptos" w:hAnsi="Aptos"/>
        </w:rPr>
        <w:t>, ku rezultatet e shqyrtimit të peticioneve publikohen dhe diskutohen në Bundestag. Qytetarët mund të ndjekin statusin e peticionit të tyre dhe të marrin informacion mbi ecurinë e tij.</w:t>
      </w:r>
    </w:p>
    <w:p w14:paraId="575A9FD5" w14:textId="77777777" w:rsidR="00E61D5B" w:rsidRPr="00B0548A" w:rsidRDefault="00E61D5B" w:rsidP="00E61D5B">
      <w:pPr>
        <w:numPr>
          <w:ilvl w:val="0"/>
          <w:numId w:val="43"/>
        </w:numPr>
        <w:overflowPunct/>
        <w:autoSpaceDE/>
        <w:autoSpaceDN/>
        <w:adjustRightInd/>
        <w:spacing w:before="100" w:beforeAutospacing="1" w:after="100" w:afterAutospacing="1" w:line="276" w:lineRule="auto"/>
        <w:textAlignment w:val="auto"/>
        <w:rPr>
          <w:rFonts w:ascii="Aptos" w:hAnsi="Aptos"/>
        </w:rPr>
      </w:pPr>
      <w:r w:rsidRPr="00B0548A">
        <w:rPr>
          <w:rFonts w:ascii="Aptos" w:hAnsi="Aptos"/>
          <w:bCs/>
        </w:rPr>
        <w:t>Llogaridhënien</w:t>
      </w:r>
      <w:r w:rsidRPr="00B0548A">
        <w:rPr>
          <w:rFonts w:ascii="Aptos" w:hAnsi="Aptos"/>
        </w:rPr>
        <w:t xml:space="preserve"> – autoritetet janë të detyruara të japin përgjigje të motivuara dhe të qarta.</w:t>
      </w:r>
    </w:p>
    <w:p w14:paraId="4AB2A00B" w14:textId="77777777" w:rsidR="00E61D5B" w:rsidRPr="00B0548A" w:rsidRDefault="00E61D5B" w:rsidP="00E61D5B">
      <w:pPr>
        <w:numPr>
          <w:ilvl w:val="0"/>
          <w:numId w:val="43"/>
        </w:numPr>
        <w:overflowPunct/>
        <w:autoSpaceDE/>
        <w:autoSpaceDN/>
        <w:adjustRightInd/>
        <w:spacing w:before="100" w:beforeAutospacing="1" w:after="100" w:afterAutospacing="1" w:line="276" w:lineRule="auto"/>
        <w:textAlignment w:val="auto"/>
        <w:rPr>
          <w:rFonts w:ascii="Aptos" w:hAnsi="Aptos"/>
        </w:rPr>
      </w:pPr>
      <w:r w:rsidRPr="00B0548A">
        <w:rPr>
          <w:rFonts w:ascii="Aptos" w:hAnsi="Aptos"/>
          <w:bCs/>
        </w:rPr>
        <w:t>Mbrojtjen nga ndëshkimi</w:t>
      </w:r>
      <w:r w:rsidRPr="00B0548A">
        <w:rPr>
          <w:rFonts w:ascii="Aptos" w:hAnsi="Aptos"/>
        </w:rPr>
        <w:t xml:space="preserve"> – personat që paraqesin peticione nuk mund të </w:t>
      </w:r>
      <w:proofErr w:type="spellStart"/>
      <w:r w:rsidRPr="00B0548A">
        <w:rPr>
          <w:rFonts w:ascii="Aptos" w:hAnsi="Aptos"/>
        </w:rPr>
        <w:t>penalizohen</w:t>
      </w:r>
      <w:proofErr w:type="spellEnd"/>
      <w:r w:rsidRPr="00B0548A">
        <w:rPr>
          <w:rFonts w:ascii="Aptos" w:hAnsi="Aptos"/>
        </w:rPr>
        <w:t xml:space="preserve"> apo diskriminohen për shkak të kërkesave apo opinioneve të tyre.</w:t>
      </w:r>
    </w:p>
    <w:p w14:paraId="41B2B4E4" w14:textId="77777777" w:rsidR="00E61D5B" w:rsidRPr="00B0548A" w:rsidRDefault="00E61D5B" w:rsidP="00E61D5B">
      <w:pPr>
        <w:pStyle w:val="Heading3"/>
        <w:spacing w:line="276" w:lineRule="auto"/>
        <w:rPr>
          <w:rFonts w:ascii="Aptos" w:hAnsi="Aptos"/>
          <w:b/>
          <w:sz w:val="24"/>
          <w:szCs w:val="24"/>
        </w:rPr>
      </w:pPr>
      <w:r w:rsidRPr="00B0548A">
        <w:rPr>
          <w:rFonts w:ascii="Aptos" w:hAnsi="Aptos"/>
          <w:sz w:val="24"/>
          <w:szCs w:val="24"/>
        </w:rPr>
        <w:t>Rregullat 108-112: Komiteti i Peticioneve në Bundestag</w:t>
      </w:r>
    </w:p>
    <w:p w14:paraId="7FD26212" w14:textId="77777777" w:rsidR="00E61D5B" w:rsidRPr="00B0548A" w:rsidRDefault="00E61D5B" w:rsidP="00E61D5B">
      <w:pPr>
        <w:pStyle w:val="Heading4"/>
        <w:spacing w:line="276" w:lineRule="auto"/>
        <w:rPr>
          <w:rFonts w:ascii="Aptos" w:hAnsi="Aptos"/>
          <w:i w:val="0"/>
          <w:color w:val="auto"/>
        </w:rPr>
      </w:pPr>
      <w:r w:rsidRPr="00B0548A">
        <w:rPr>
          <w:rStyle w:val="Strong"/>
          <w:rFonts w:ascii="Aptos" w:hAnsi="Aptos"/>
          <w:i w:val="0"/>
          <w:color w:val="auto"/>
        </w:rPr>
        <w:t xml:space="preserve">Rregulli 109: Referimi dhe shqyrtimi i peticioneve : </w:t>
      </w:r>
      <w:r w:rsidRPr="00B0548A">
        <w:rPr>
          <w:rFonts w:ascii="Aptos" w:hAnsi="Aptos"/>
          <w:color w:val="auto"/>
        </w:rPr>
        <w:t>Peticionet i referohen Komitetit të Peticioneve nga Presidenti i Bundestagut. Nëse një peticion lidhet me çështje në diskutim në komisione të tjera, kërkohet mendimi i tyre. Deputetët që paraqesin peticione mund të marrin pjesë në diskutime, por pa të drejtë vote.</w:t>
      </w:r>
    </w:p>
    <w:p w14:paraId="4509452C" w14:textId="77777777" w:rsidR="00E61D5B" w:rsidRPr="00B0548A" w:rsidRDefault="00E61D5B" w:rsidP="00E61D5B">
      <w:pPr>
        <w:pStyle w:val="Heading4"/>
        <w:spacing w:line="276" w:lineRule="auto"/>
        <w:rPr>
          <w:rFonts w:ascii="Aptos" w:hAnsi="Aptos"/>
          <w:i w:val="0"/>
          <w:color w:val="auto"/>
        </w:rPr>
      </w:pPr>
      <w:r w:rsidRPr="00B0548A">
        <w:rPr>
          <w:rStyle w:val="Strong"/>
          <w:rFonts w:ascii="Aptos" w:hAnsi="Aptos"/>
          <w:i w:val="0"/>
          <w:color w:val="auto"/>
        </w:rPr>
        <w:t xml:space="preserve">Rregulli 110: Procedurat e shqyrtimit : </w:t>
      </w:r>
      <w:r w:rsidRPr="00B0548A">
        <w:rPr>
          <w:rFonts w:ascii="Aptos" w:hAnsi="Aptos"/>
          <w:color w:val="auto"/>
        </w:rPr>
        <w:t xml:space="preserve">Komiteti përcakton parimet për trajtimin e peticioneve. Ai ka të drejtë të kërkojë dokumente, informacion ose qasje në objekte nga autoritetet federale, duke informuar anëtarin përkatës të qeverisë. Anëtari përkatës i qeverisë duhet të njoftohet paraprakisht për çdo dëgjesë me </w:t>
      </w:r>
      <w:proofErr w:type="spellStart"/>
      <w:r w:rsidRPr="00B0548A">
        <w:rPr>
          <w:rFonts w:ascii="Aptos" w:hAnsi="Aptos"/>
          <w:color w:val="auto"/>
        </w:rPr>
        <w:t>peticionues</w:t>
      </w:r>
      <w:proofErr w:type="spellEnd"/>
      <w:r w:rsidRPr="00B0548A">
        <w:rPr>
          <w:rFonts w:ascii="Aptos" w:hAnsi="Aptos"/>
          <w:color w:val="auto"/>
        </w:rPr>
        <w:t>, dëshmitarë ose ekspertë.</w:t>
      </w:r>
    </w:p>
    <w:p w14:paraId="0FAF93E9" w14:textId="77777777" w:rsidR="00E61D5B" w:rsidRPr="00B0548A" w:rsidRDefault="00E61D5B" w:rsidP="00E61D5B">
      <w:pPr>
        <w:pStyle w:val="Heading4"/>
        <w:spacing w:line="276" w:lineRule="auto"/>
        <w:rPr>
          <w:rFonts w:ascii="Aptos" w:hAnsi="Aptos"/>
          <w:i w:val="0"/>
          <w:color w:val="auto"/>
        </w:rPr>
      </w:pPr>
      <w:r w:rsidRPr="00B0548A">
        <w:rPr>
          <w:rStyle w:val="Strong"/>
          <w:rFonts w:ascii="Aptos" w:hAnsi="Aptos"/>
          <w:i w:val="0"/>
          <w:color w:val="auto"/>
        </w:rPr>
        <w:t xml:space="preserve">Rregulli 111: Transferimi i kompetencave te anëtarët individualë: </w:t>
      </w:r>
      <w:r w:rsidRPr="00B0548A">
        <w:rPr>
          <w:rFonts w:ascii="Aptos" w:hAnsi="Aptos"/>
          <w:color w:val="auto"/>
        </w:rPr>
        <w:t>Komisioni i Peticioneve vendos në raste të veçanta nëse do t’i transferojë një ose më shumë anëtarëve të tij kompetencat e përcaktuara sipas nenit 45c të Ligjit Bazë. Vendimi duhet të përcaktojë natyrën dhe shtrirjen e kompetencave të transferuara.</w:t>
      </w:r>
    </w:p>
    <w:p w14:paraId="5DCA0CD6" w14:textId="7099BF6D" w:rsidR="00E61D5B" w:rsidRPr="00B0548A" w:rsidRDefault="00E61D5B" w:rsidP="00E61D5B">
      <w:pPr>
        <w:pStyle w:val="Heading4"/>
        <w:spacing w:line="276" w:lineRule="auto"/>
        <w:rPr>
          <w:rFonts w:ascii="Aptos" w:hAnsi="Aptos"/>
          <w:color w:val="auto"/>
        </w:rPr>
      </w:pPr>
      <w:r w:rsidRPr="00B0548A">
        <w:rPr>
          <w:rStyle w:val="Strong"/>
          <w:rFonts w:ascii="Aptos" w:hAnsi="Aptos"/>
          <w:i w:val="0"/>
          <w:color w:val="auto"/>
        </w:rPr>
        <w:t xml:space="preserve">Rregulli 112: Rekomandimet dhe raportimi : </w:t>
      </w:r>
      <w:r w:rsidRPr="00B0548A">
        <w:rPr>
          <w:rStyle w:val="Strong"/>
          <w:rFonts w:ascii="Aptos" w:hAnsi="Aptos"/>
          <w:color w:val="auto"/>
        </w:rPr>
        <w:t xml:space="preserve">Raportimi: </w:t>
      </w:r>
      <w:r w:rsidRPr="00B0548A">
        <w:rPr>
          <w:rFonts w:ascii="Aptos" w:hAnsi="Aptos"/>
          <w:color w:val="auto"/>
        </w:rPr>
        <w:t xml:space="preserve">Raporti mbi peticionet e shqyrtuara i paraqitet Bundestagut në formën e një liste së bashku me një rekomandim. Raporti duhet të dorëzohet çdo muaj. Përveç kësaj, Komisioni i Peticioneve i dorëzon Bundestagut një raport vjetor të shkruar mbi punën e tij. </w:t>
      </w:r>
      <w:r w:rsidRPr="00B0548A">
        <w:rPr>
          <w:rStyle w:val="Strong"/>
          <w:rFonts w:ascii="Aptos" w:hAnsi="Aptos"/>
          <w:color w:val="auto"/>
        </w:rPr>
        <w:t xml:space="preserve">Shpërndarja dhe diskutimi: </w:t>
      </w:r>
      <w:r w:rsidRPr="00B0548A">
        <w:rPr>
          <w:rFonts w:ascii="Aptos" w:hAnsi="Aptos"/>
          <w:color w:val="auto"/>
        </w:rPr>
        <w:t xml:space="preserve">Raportet duhet të shpërndahen dhe të vendosen në rendin e ditës brenda tre javëve nga shpërndarja e tyre. Raportuesi mund të japë shpjegime shtesë me gojë. Një debat mund të mbahet vetëm nëse një grup parlamentar ose pesë për qind e anëtarëve të pranishëm të Bundestagut e kërkojnë atë. </w:t>
      </w:r>
      <w:r w:rsidRPr="00B0548A">
        <w:rPr>
          <w:rStyle w:val="Strong"/>
          <w:rFonts w:ascii="Aptos" w:hAnsi="Aptos"/>
          <w:color w:val="auto"/>
        </w:rPr>
        <w:t xml:space="preserve">Njoftimi për </w:t>
      </w:r>
      <w:proofErr w:type="spellStart"/>
      <w:r w:rsidRPr="00B0548A">
        <w:rPr>
          <w:rStyle w:val="Strong"/>
          <w:rFonts w:ascii="Aptos" w:hAnsi="Aptos"/>
          <w:color w:val="auto"/>
        </w:rPr>
        <w:t>peticionuesit</w:t>
      </w:r>
      <w:proofErr w:type="spellEnd"/>
      <w:r w:rsidRPr="00B0548A">
        <w:rPr>
          <w:rStyle w:val="Strong"/>
          <w:rFonts w:ascii="Aptos" w:hAnsi="Aptos"/>
          <w:color w:val="auto"/>
        </w:rPr>
        <w:t xml:space="preserve">: </w:t>
      </w:r>
      <w:proofErr w:type="spellStart"/>
      <w:r w:rsidRPr="00B0548A">
        <w:rPr>
          <w:rFonts w:ascii="Aptos" w:hAnsi="Aptos"/>
          <w:color w:val="auto"/>
        </w:rPr>
        <w:t>Peticionuesit</w:t>
      </w:r>
      <w:proofErr w:type="spellEnd"/>
      <w:r w:rsidRPr="00B0548A">
        <w:rPr>
          <w:rFonts w:ascii="Aptos" w:hAnsi="Aptos"/>
          <w:color w:val="auto"/>
        </w:rPr>
        <w:t xml:space="preserve"> duhet të informohen për mënyrën se si janë trajtuar peticionet e tyre.</w:t>
      </w:r>
      <w:r w:rsidR="00B0548A" w:rsidRPr="00B0548A">
        <w:rPr>
          <w:rFonts w:ascii="Aptos" w:hAnsi="Aptos"/>
          <w:color w:val="auto"/>
        </w:rPr>
        <w:t xml:space="preserve"> </w:t>
      </w:r>
      <w:r w:rsidRPr="00B0548A">
        <w:rPr>
          <w:rFonts w:ascii="Aptos" w:hAnsi="Aptos"/>
          <w:color w:val="auto"/>
        </w:rPr>
        <w:t>Ky komunikim duhet të përmbajë arsyet përkatëse.</w:t>
      </w:r>
    </w:p>
    <w:p w14:paraId="2B5B5A9D" w14:textId="77777777" w:rsidR="00E61D5B" w:rsidRPr="00B0548A" w:rsidRDefault="00E61D5B" w:rsidP="00E61D5B">
      <w:pPr>
        <w:rPr>
          <w:rFonts w:ascii="Aptos" w:hAnsi="Aptos"/>
        </w:rPr>
      </w:pPr>
    </w:p>
    <w:p w14:paraId="6AB00FF3" w14:textId="77777777" w:rsidR="00E61D5B" w:rsidRPr="00B0548A" w:rsidRDefault="00E61D5B" w:rsidP="00E61D5B">
      <w:pPr>
        <w:pStyle w:val="ListParagraph"/>
        <w:numPr>
          <w:ilvl w:val="0"/>
          <w:numId w:val="56"/>
        </w:numPr>
        <w:overflowPunct/>
        <w:autoSpaceDE/>
        <w:autoSpaceDN/>
        <w:adjustRightInd/>
        <w:spacing w:after="0" w:line="276" w:lineRule="auto"/>
        <w:textAlignment w:val="auto"/>
        <w:rPr>
          <w:rFonts w:ascii="Aptos" w:hAnsi="Aptos"/>
        </w:rPr>
      </w:pPr>
      <w:r w:rsidRPr="00B0548A">
        <w:rPr>
          <w:rFonts w:ascii="Aptos" w:hAnsi="Aptos"/>
        </w:rPr>
        <w:t>Modeli Britanik/Parlamenti Skocez</w:t>
      </w:r>
    </w:p>
    <w:p w14:paraId="7F60D216" w14:textId="77777777" w:rsidR="00E61D5B" w:rsidRPr="00B0548A" w:rsidRDefault="00E61D5B" w:rsidP="00E61D5B">
      <w:pPr>
        <w:pStyle w:val="NormalWeb"/>
        <w:spacing w:line="276" w:lineRule="auto"/>
        <w:jc w:val="both"/>
        <w:rPr>
          <w:rFonts w:ascii="Aptos" w:hAnsi="Aptos"/>
          <w:lang w:val="sq-AL"/>
        </w:rPr>
      </w:pPr>
      <w:r w:rsidRPr="00B0548A">
        <w:rPr>
          <w:rStyle w:val="Strong"/>
          <w:rFonts w:ascii="Aptos" w:eastAsiaTheme="majorEastAsia" w:hAnsi="Aptos"/>
          <w:lang w:val="sq-AL"/>
        </w:rPr>
        <w:lastRenderedPageBreak/>
        <w:t>Komiteti fokusohet në:</w:t>
      </w:r>
      <w:r w:rsidRPr="00B0548A">
        <w:rPr>
          <w:rStyle w:val="FootnoteReference"/>
          <w:rFonts w:ascii="Aptos" w:eastAsiaTheme="majorEastAsia" w:hAnsi="Aptos"/>
          <w:bCs/>
          <w:lang w:val="sq-AL"/>
        </w:rPr>
        <w:footnoteReference w:id="3"/>
      </w:r>
      <w:r w:rsidRPr="00B0548A">
        <w:rPr>
          <w:rStyle w:val="Strong"/>
          <w:rFonts w:ascii="Aptos" w:eastAsiaTheme="majorEastAsia" w:hAnsi="Aptos"/>
          <w:lang w:val="sq-AL"/>
        </w:rPr>
        <w:t xml:space="preserve"> </w:t>
      </w:r>
      <w:r w:rsidRPr="00B0548A">
        <w:rPr>
          <w:rFonts w:ascii="Aptos" w:hAnsi="Aptos"/>
          <w:lang w:val="sq-AL"/>
        </w:rPr>
        <w:t>Shqyrtimin e të gjitha peticioneve publike të paraqitura në Parlament dhe përcaktimin nëse ato i përmbushin rregullat; Vendosjen e masave që duhen ndërmarrë për të gjitha peticionet publike që i përmbushin rregullat; Rishikimin e funksionimit të sistemit të peticioneve publike; Çdo formë tjetër të përfshirjes publike që komiteti vendos të ndërmarrë.</w:t>
      </w:r>
    </w:p>
    <w:p w14:paraId="40689D03" w14:textId="77777777" w:rsidR="00E61D5B" w:rsidRPr="00B0548A" w:rsidRDefault="00E61D5B" w:rsidP="00E61D5B">
      <w:pPr>
        <w:pStyle w:val="NormalWeb"/>
        <w:spacing w:line="276" w:lineRule="auto"/>
        <w:jc w:val="both"/>
        <w:rPr>
          <w:rFonts w:ascii="Aptos" w:hAnsi="Aptos"/>
          <w:lang w:val="sq-AL"/>
        </w:rPr>
      </w:pPr>
      <w:r w:rsidRPr="00B0548A">
        <w:rPr>
          <w:rFonts w:ascii="Aptos" w:hAnsi="Aptos"/>
          <w:lang w:val="sq-AL"/>
        </w:rPr>
        <w:t xml:space="preserve">Sipas Rregullave të Rregullores nr. 15.4.2, një peticion duhet të përmbajë: Emrin e </w:t>
      </w:r>
      <w:proofErr w:type="spellStart"/>
      <w:r w:rsidRPr="00B0548A">
        <w:rPr>
          <w:rFonts w:ascii="Aptos" w:hAnsi="Aptos"/>
          <w:lang w:val="sq-AL"/>
        </w:rPr>
        <w:t>peticionuesit</w:t>
      </w:r>
      <w:proofErr w:type="spellEnd"/>
      <w:r w:rsidRPr="00B0548A">
        <w:rPr>
          <w:rFonts w:ascii="Aptos" w:hAnsi="Aptos"/>
          <w:lang w:val="sq-AL"/>
        </w:rPr>
        <w:t xml:space="preserve">; Një adresë për të komunikuar me </w:t>
      </w:r>
      <w:proofErr w:type="spellStart"/>
      <w:r w:rsidRPr="00B0548A">
        <w:rPr>
          <w:rFonts w:ascii="Aptos" w:hAnsi="Aptos"/>
          <w:lang w:val="sq-AL"/>
        </w:rPr>
        <w:t>peticionuesin</w:t>
      </w:r>
      <w:proofErr w:type="spellEnd"/>
      <w:r w:rsidRPr="00B0548A">
        <w:rPr>
          <w:rFonts w:ascii="Aptos" w:hAnsi="Aptos"/>
          <w:lang w:val="sq-AL"/>
        </w:rPr>
        <w:t>; Emrin dhe adresën e çdo personi që mbështet peticionin</w:t>
      </w:r>
    </w:p>
    <w:p w14:paraId="085C6239" w14:textId="77777777" w:rsidR="00E61D5B" w:rsidRPr="00B0548A" w:rsidRDefault="00E61D5B" w:rsidP="00E61D5B">
      <w:pPr>
        <w:pStyle w:val="NormalWeb"/>
        <w:spacing w:line="276" w:lineRule="auto"/>
        <w:jc w:val="both"/>
        <w:rPr>
          <w:rFonts w:ascii="Aptos" w:hAnsi="Aptos"/>
          <w:lang w:val="sq-AL"/>
        </w:rPr>
      </w:pPr>
      <w:r w:rsidRPr="00B0548A">
        <w:rPr>
          <w:rFonts w:ascii="Aptos" w:hAnsi="Aptos"/>
          <w:lang w:val="sq-AL"/>
        </w:rPr>
        <w:t>Të gjitha peticionet duhet të përfshijnë gjithashtu: Një titull për peticionin që shpjegon me pak fjalë për çfarë bëhet fjalë; Një përmbledhje që shpjegon se çfarë dëshironi që Parlamenti të bëjë; Informacion tjetër shtesë mbi arsyet pse dëshironi që Parlamenti ta shqyrtojë çështjen.</w:t>
      </w:r>
    </w:p>
    <w:p w14:paraId="5B30C7EC" w14:textId="77777777" w:rsidR="00E61D5B" w:rsidRPr="00B0548A" w:rsidRDefault="00E61D5B" w:rsidP="00E61D5B">
      <w:pPr>
        <w:pStyle w:val="NormalWeb"/>
        <w:spacing w:line="276" w:lineRule="auto"/>
        <w:jc w:val="both"/>
        <w:rPr>
          <w:rFonts w:ascii="Aptos" w:hAnsi="Aptos"/>
          <w:lang w:val="sq-AL"/>
        </w:rPr>
      </w:pPr>
      <w:r w:rsidRPr="00B0548A">
        <w:rPr>
          <w:rFonts w:ascii="Aptos" w:hAnsi="Aptos"/>
          <w:lang w:val="sq-AL"/>
        </w:rPr>
        <w:t xml:space="preserve">Gjithashtu, duhet të jepni informacion mbi hapat që keni ndërmarrë tashmë për të trajtuar çështjen. Para se të dorëzoni një peticion, duhet të kontaktoni të paktën një nga deputetët tuaj të Parlamentit Skocez (MSP) ose Qeverinë Skoceze. Duhet të na informoni edhe për rezultatin e këtij kontakti. Të gjitha peticionet duhet të dorëzohen përmes sistemit tonë </w:t>
      </w:r>
      <w:proofErr w:type="spellStart"/>
      <w:r w:rsidRPr="00B0548A">
        <w:rPr>
          <w:rFonts w:ascii="Aptos" w:hAnsi="Aptos"/>
          <w:lang w:val="sq-AL"/>
        </w:rPr>
        <w:t>online</w:t>
      </w:r>
      <w:proofErr w:type="spellEnd"/>
      <w:r w:rsidRPr="00B0548A">
        <w:rPr>
          <w:rFonts w:ascii="Aptos" w:hAnsi="Aptos"/>
          <w:lang w:val="sq-AL"/>
        </w:rPr>
        <w:t xml:space="preserve"> të peticioneve. Nëse nuk mund të përdorni këtë sistem, ju lutemi kontaktoni ekipin e Pjesëmarrjes së Qytetarëve dhe Peticioneve Publike.</w:t>
      </w:r>
    </w:p>
    <w:p w14:paraId="797290CE" w14:textId="77777777" w:rsidR="00E61D5B" w:rsidRPr="00B0548A" w:rsidRDefault="00E61D5B" w:rsidP="00E61D5B">
      <w:pPr>
        <w:pStyle w:val="NormalWeb"/>
        <w:numPr>
          <w:ilvl w:val="0"/>
          <w:numId w:val="56"/>
        </w:numPr>
        <w:spacing w:line="276" w:lineRule="auto"/>
        <w:jc w:val="both"/>
        <w:rPr>
          <w:rFonts w:ascii="Aptos" w:hAnsi="Aptos"/>
          <w:lang w:val="sq-AL"/>
        </w:rPr>
      </w:pPr>
      <w:r w:rsidRPr="00B0548A">
        <w:rPr>
          <w:rFonts w:ascii="Aptos" w:hAnsi="Aptos"/>
          <w:lang w:val="sq-AL"/>
        </w:rPr>
        <w:t xml:space="preserve">Modeli i Bashkimit </w:t>
      </w:r>
      <w:proofErr w:type="spellStart"/>
      <w:r w:rsidRPr="00B0548A">
        <w:rPr>
          <w:rFonts w:ascii="Aptos" w:hAnsi="Aptos"/>
          <w:lang w:val="sq-AL"/>
        </w:rPr>
        <w:t>Europian</w:t>
      </w:r>
      <w:proofErr w:type="spellEnd"/>
      <w:r w:rsidRPr="00B0548A">
        <w:rPr>
          <w:rFonts w:ascii="Aptos" w:hAnsi="Aptos"/>
          <w:lang w:val="sq-AL"/>
        </w:rPr>
        <w:t>, (BE)</w:t>
      </w:r>
    </w:p>
    <w:p w14:paraId="3B2A3A81" w14:textId="77777777" w:rsidR="00E61D5B" w:rsidRPr="00B0548A" w:rsidRDefault="00E61D5B" w:rsidP="00E61D5B">
      <w:pPr>
        <w:pStyle w:val="NormalWeb"/>
        <w:spacing w:line="276" w:lineRule="auto"/>
        <w:jc w:val="both"/>
        <w:rPr>
          <w:rFonts w:ascii="Aptos" w:hAnsi="Aptos"/>
          <w:lang w:val="sq-AL"/>
        </w:rPr>
      </w:pPr>
      <w:r w:rsidRPr="00B0548A">
        <w:rPr>
          <w:rFonts w:ascii="Aptos" w:hAnsi="Aptos"/>
          <w:lang w:val="sq-AL"/>
        </w:rPr>
        <w:t xml:space="preserve">Edhe sipas këtij modeli, Parlamenti </w:t>
      </w:r>
      <w:proofErr w:type="spellStart"/>
      <w:r w:rsidRPr="00B0548A">
        <w:rPr>
          <w:rFonts w:ascii="Aptos" w:hAnsi="Aptos"/>
          <w:lang w:val="sq-AL"/>
        </w:rPr>
        <w:t>Europian</w:t>
      </w:r>
      <w:proofErr w:type="spellEnd"/>
      <w:r w:rsidRPr="00B0548A">
        <w:rPr>
          <w:rFonts w:ascii="Aptos" w:hAnsi="Aptos"/>
          <w:lang w:val="sq-AL"/>
        </w:rPr>
        <w:t xml:space="preserve"> ka një komision të përhershëm mbi peticionet që merret me shqyrtimin e tyre. Parlamenti ofron dhe një platformë </w:t>
      </w:r>
      <w:proofErr w:type="spellStart"/>
      <w:r w:rsidRPr="00B0548A">
        <w:rPr>
          <w:rFonts w:ascii="Aptos" w:hAnsi="Aptos"/>
          <w:lang w:val="sq-AL"/>
        </w:rPr>
        <w:t>online</w:t>
      </w:r>
      <w:proofErr w:type="spellEnd"/>
      <w:r w:rsidRPr="00B0548A">
        <w:rPr>
          <w:rFonts w:ascii="Aptos" w:hAnsi="Aptos"/>
          <w:lang w:val="sq-AL"/>
        </w:rPr>
        <w:t xml:space="preserve"> për dërgimin e peticioneve. Për më tepër, procedurat dhe përfundimet mbi peticionet gjenden në </w:t>
      </w:r>
      <w:proofErr w:type="spellStart"/>
      <w:r w:rsidRPr="00B0548A">
        <w:rPr>
          <w:rFonts w:ascii="Aptos" w:hAnsi="Aptos"/>
          <w:lang w:val="sq-AL"/>
        </w:rPr>
        <w:t>web</w:t>
      </w:r>
      <w:proofErr w:type="spellEnd"/>
      <w:r w:rsidRPr="00B0548A">
        <w:rPr>
          <w:rFonts w:ascii="Aptos" w:hAnsi="Aptos"/>
          <w:lang w:val="sq-AL"/>
        </w:rPr>
        <w:t xml:space="preserve"> –in e PE</w:t>
      </w:r>
      <w:r w:rsidRPr="00B0548A">
        <w:rPr>
          <w:rStyle w:val="FootnoteReference"/>
          <w:rFonts w:ascii="Aptos" w:eastAsiaTheme="majorEastAsia" w:hAnsi="Aptos"/>
          <w:lang w:val="sq-AL"/>
        </w:rPr>
        <w:footnoteReference w:id="4"/>
      </w:r>
      <w:r w:rsidRPr="00B0548A">
        <w:rPr>
          <w:rFonts w:ascii="Aptos" w:hAnsi="Aptos"/>
          <w:lang w:val="sq-AL"/>
        </w:rPr>
        <w:t>.</w:t>
      </w:r>
    </w:p>
    <w:p w14:paraId="5E133084" w14:textId="77777777" w:rsidR="00E61D5B" w:rsidRPr="00B0548A" w:rsidRDefault="00E61D5B" w:rsidP="00E61D5B">
      <w:pPr>
        <w:pStyle w:val="NormalWeb"/>
        <w:spacing w:line="276" w:lineRule="auto"/>
        <w:jc w:val="both"/>
        <w:rPr>
          <w:rFonts w:ascii="Aptos" w:hAnsi="Aptos"/>
          <w:color w:val="4472C4" w:themeColor="accent1"/>
          <w:lang w:val="sq-AL"/>
        </w:rPr>
      </w:pPr>
      <w:r w:rsidRPr="00B0548A">
        <w:rPr>
          <w:rFonts w:ascii="Aptos" w:hAnsi="Aptos"/>
          <w:color w:val="4472C4" w:themeColor="accent1"/>
          <w:lang w:val="sq-AL"/>
        </w:rPr>
        <w:tab/>
        <w:t xml:space="preserve">IV. Propozime për ndërhyrje normative dhe </w:t>
      </w:r>
      <w:proofErr w:type="spellStart"/>
      <w:r w:rsidRPr="00B0548A">
        <w:rPr>
          <w:rFonts w:ascii="Aptos" w:hAnsi="Aptos"/>
          <w:color w:val="4472C4" w:themeColor="accent1"/>
          <w:lang w:val="sq-AL"/>
        </w:rPr>
        <w:t>rregullatore</w:t>
      </w:r>
      <w:proofErr w:type="spellEnd"/>
      <w:r w:rsidRPr="00B0548A">
        <w:rPr>
          <w:rFonts w:ascii="Aptos" w:hAnsi="Aptos"/>
          <w:color w:val="4472C4" w:themeColor="accent1"/>
          <w:lang w:val="sq-AL"/>
        </w:rPr>
        <w:t xml:space="preserve"> </w:t>
      </w:r>
    </w:p>
    <w:p w14:paraId="21392700" w14:textId="77777777" w:rsidR="00E61D5B" w:rsidRPr="00B0548A" w:rsidRDefault="00E61D5B" w:rsidP="00E61D5B">
      <w:pPr>
        <w:pStyle w:val="NormalWeb"/>
        <w:spacing w:line="276" w:lineRule="auto"/>
        <w:jc w:val="both"/>
        <w:rPr>
          <w:rFonts w:ascii="Aptos" w:hAnsi="Aptos"/>
          <w:lang w:val="sq-AL"/>
        </w:rPr>
      </w:pPr>
      <w:r w:rsidRPr="00B0548A">
        <w:rPr>
          <w:rFonts w:ascii="Aptos" w:hAnsi="Aptos"/>
          <w:lang w:val="sq-AL"/>
        </w:rPr>
        <w:t xml:space="preserve">Nga sa më lart, mund të </w:t>
      </w:r>
      <w:proofErr w:type="spellStart"/>
      <w:r w:rsidRPr="00B0548A">
        <w:rPr>
          <w:rFonts w:ascii="Aptos" w:hAnsi="Aptos"/>
          <w:lang w:val="sq-AL"/>
        </w:rPr>
        <w:t>konkludohet</w:t>
      </w:r>
      <w:proofErr w:type="spellEnd"/>
      <w:r w:rsidRPr="00B0548A">
        <w:rPr>
          <w:rFonts w:ascii="Aptos" w:hAnsi="Aptos"/>
          <w:lang w:val="sq-AL"/>
        </w:rPr>
        <w:t xml:space="preserve"> se do të duhet të bëhen ndërhyrje normative dhe </w:t>
      </w:r>
      <w:proofErr w:type="spellStart"/>
      <w:r w:rsidRPr="00B0548A">
        <w:rPr>
          <w:rFonts w:ascii="Aptos" w:hAnsi="Aptos"/>
          <w:lang w:val="sq-AL"/>
        </w:rPr>
        <w:t>rregullatore</w:t>
      </w:r>
      <w:proofErr w:type="spellEnd"/>
      <w:r w:rsidRPr="00B0548A">
        <w:rPr>
          <w:rFonts w:ascii="Aptos" w:hAnsi="Aptos"/>
          <w:lang w:val="sq-AL"/>
        </w:rPr>
        <w:t xml:space="preserve"> kryesisht në: a) Rregulloren e Kuvendit, përkatësisht në nenet 12, 18, 19, 102 </w:t>
      </w:r>
      <w:r w:rsidRPr="00B0548A">
        <w:rPr>
          <w:rFonts w:ascii="Aptos" w:hAnsi="Aptos"/>
          <w:lang w:val="sq-AL"/>
        </w:rPr>
        <w:lastRenderedPageBreak/>
        <w:t>dhe 104 të saj, për krijimin ose jo të Komisionit të Përhershëm për Peticionet, si dhe për parashikimin e afateve procedurave për vendimmarrjet në çdo hallkë të këtij procesi administrativ, me nuanca edhe të natyrës legjislative; b) Përditësimi i Manualit të Pjesëmarrjes së Publikut në Procesin Vendimmarrës të Kuvendit në pikat 3.2 dhe 6.3, në përputhje me ndryshimet në Rregulloren e Kuvendit dhe miratimin e Udhëzuesit për Peticionet( bashkë me formularin përkatës), me qëllim rritjen e qartësisë dhe efektivitetit të procesit të trajtimit të peticioneve nga Kuvendi.</w:t>
      </w:r>
    </w:p>
    <w:p w14:paraId="2899E5D2" w14:textId="77777777" w:rsidR="00E61D5B" w:rsidRPr="00B0548A" w:rsidRDefault="00E61D5B" w:rsidP="00E61D5B">
      <w:pPr>
        <w:pStyle w:val="NormalWeb"/>
        <w:spacing w:line="276" w:lineRule="auto"/>
        <w:jc w:val="both"/>
        <w:rPr>
          <w:rFonts w:ascii="Aptos" w:hAnsi="Aptos"/>
          <w:lang w:val="sq-AL"/>
        </w:rPr>
      </w:pPr>
      <w:r w:rsidRPr="00B0548A">
        <w:rPr>
          <w:rFonts w:ascii="Aptos" w:hAnsi="Aptos"/>
          <w:lang w:val="sq-AL"/>
        </w:rPr>
        <w:t xml:space="preserve">Lidhur me ndryshimet normative që propozohen në lidhje me Rregulloren e Kuvendit: </w:t>
      </w:r>
    </w:p>
    <w:p w14:paraId="33127352" w14:textId="3AE38587" w:rsidR="00E61D5B" w:rsidRPr="00B0548A" w:rsidRDefault="00E61D5B" w:rsidP="00E61D5B">
      <w:pPr>
        <w:pStyle w:val="NormalWeb"/>
        <w:spacing w:line="276" w:lineRule="auto"/>
        <w:jc w:val="both"/>
        <w:rPr>
          <w:rFonts w:ascii="Aptos" w:hAnsi="Aptos"/>
          <w:lang w:val="sq-AL"/>
        </w:rPr>
      </w:pPr>
      <w:r w:rsidRPr="00B0548A">
        <w:rPr>
          <w:rFonts w:ascii="Aptos" w:hAnsi="Aptos"/>
          <w:lang w:val="sq-AL"/>
        </w:rPr>
        <w:t>1- varianti i parë: reflektimi në mënyrë integrale të ndryshimeve në nenin 18 (Komisionet trajtojnë peticionet e paraqitura nga qytetarët, sigurojnë transparencën dhe efektivitetin e procesit të shqyrtimit dhe paraqesin rekomandime për Kuvendin mbi çështjet e ngritura., nenin 19 (</w:t>
      </w:r>
      <w:r w:rsidRPr="00B0548A">
        <w:rPr>
          <w:rFonts w:ascii="Aptos" w:hAnsi="Aptos"/>
          <w:u w:val="single"/>
          <w:lang w:val="sq-AL"/>
        </w:rPr>
        <w:t>Komisioni për Peticionet.</w:t>
      </w:r>
      <w:r w:rsidRPr="00B0548A">
        <w:rPr>
          <w:rFonts w:ascii="Aptos" w:hAnsi="Aptos"/>
          <w:lang w:val="sq-AL"/>
        </w:rPr>
        <w:t xml:space="preserve"> (Peticionet dhe ankesat e qytetarëve, shqyrtimi i kërkesave dhe propozimeve të tyre për ndryshime ligjore), i cili ka për detyrë shqyrtimin dhe  administrimin e peticioneve të paraqitura nga qytetarët dhe grupet e interesit. Neni 104 ( si më poshtë tek tabela) dhe duke shtuar një nen 104/a, me kompetencat dhe përgjegjësitë e Komisionit të Përhershëm për Peticionet (sipas modeleve </w:t>
      </w:r>
      <w:r w:rsidR="00B0548A" w:rsidRPr="00B0548A">
        <w:rPr>
          <w:rFonts w:ascii="Aptos" w:hAnsi="Aptos"/>
          <w:lang w:val="sq-AL"/>
        </w:rPr>
        <w:t>evropiane</w:t>
      </w:r>
      <w:r w:rsidRPr="00B0548A">
        <w:rPr>
          <w:rFonts w:ascii="Aptos" w:hAnsi="Aptos"/>
          <w:lang w:val="sq-AL"/>
        </w:rPr>
        <w:t>, të analizuara më lart) me këtë përmbajtje:</w:t>
      </w:r>
      <w:r w:rsidRPr="00B0548A">
        <w:rPr>
          <w:rStyle w:val="Strong"/>
          <w:rFonts w:ascii="Aptos" w:eastAsiaTheme="majorEastAsia" w:hAnsi="Aptos"/>
          <w:lang w:val="sq-AL"/>
        </w:rPr>
        <w:t xml:space="preserve"> Kompetencat dhe detyrat e Komisionit të Përhershëm për Peticionet</w:t>
      </w:r>
      <w:r w:rsidRPr="00B0548A">
        <w:rPr>
          <w:rFonts w:ascii="Aptos" w:hAnsi="Aptos"/>
          <w:lang w:val="sq-AL"/>
        </w:rPr>
        <w:t>: a) Pranon dhe shqyrton peticionet e paraqitura nga qytetarët, organizatat dhe grupet e interesit. b) Verifikon përmbushjen e kritereve formale dhe substanciale të peticioneve. c) Kërkon informacione shtesë nga institucionet përkatëse dhe rekomandon veprime të mëtejshme. d) Jep shpjegime me shkrim, propozon nismë legjislative, ose merr vendim. e) Harton raporte dhe rekomandime për seancat plenare të Kuvendit lidhur me peticionet e paraqitura. f) Monitoron dhe ndjek zbatimin e vendimeve të marra mbi peticionet e shqyrtuara.</w:t>
      </w:r>
    </w:p>
    <w:p w14:paraId="65DED5F2" w14:textId="0155BCDF" w:rsidR="00E61D5B" w:rsidRPr="00B0548A" w:rsidRDefault="00E61D5B" w:rsidP="00E61D5B">
      <w:pPr>
        <w:pStyle w:val="NormalWeb"/>
        <w:spacing w:line="276" w:lineRule="auto"/>
        <w:jc w:val="both"/>
        <w:rPr>
          <w:rFonts w:ascii="Aptos" w:hAnsi="Aptos"/>
          <w:lang w:val="sq-AL"/>
        </w:rPr>
      </w:pPr>
      <w:r w:rsidRPr="00B0548A">
        <w:rPr>
          <w:rFonts w:ascii="Aptos" w:hAnsi="Aptos"/>
          <w:lang w:val="sq-AL"/>
        </w:rPr>
        <w:t xml:space="preserve">2- varianti i dytë: </w:t>
      </w:r>
      <w:r w:rsidRPr="00B0548A">
        <w:rPr>
          <w:rStyle w:val="Strong"/>
          <w:rFonts w:ascii="Aptos" w:eastAsiaTheme="majorEastAsia" w:hAnsi="Aptos"/>
          <w:lang w:val="sq-AL"/>
        </w:rPr>
        <w:t>(pa krijimin e një komisioni të posaçëm)</w:t>
      </w:r>
      <w:r w:rsidRPr="00B0548A">
        <w:rPr>
          <w:rFonts w:ascii="Aptos" w:hAnsi="Aptos"/>
          <w:lang w:val="sq-AL"/>
        </w:rPr>
        <w:t xml:space="preserve">, shqyrtimi i  peticioneve nga një komision përgjegjës ose më shumë se një, i caktuar nga Konferenca e Kryetarëve/Kryetari i Kuvendit, duke propozuar shtesa/përmirësime në nenin 12 dhe 104 për </w:t>
      </w:r>
      <w:r w:rsidR="00B0548A" w:rsidRPr="00B0548A">
        <w:rPr>
          <w:rFonts w:ascii="Aptos" w:hAnsi="Aptos"/>
          <w:lang w:val="sq-AL"/>
        </w:rPr>
        <w:t>përcaktimin</w:t>
      </w:r>
      <w:r w:rsidRPr="00B0548A">
        <w:rPr>
          <w:rFonts w:ascii="Aptos" w:hAnsi="Aptos"/>
          <w:lang w:val="sq-AL"/>
        </w:rPr>
        <w:t xml:space="preserve"> e procedurave/ hapave procedurale dhe afateve të shqyrtimit.</w:t>
      </w:r>
    </w:p>
    <w:p w14:paraId="30C297DB" w14:textId="77777777" w:rsidR="00E61D5B" w:rsidRPr="00B0548A" w:rsidRDefault="00E61D5B" w:rsidP="00E61D5B">
      <w:pPr>
        <w:pStyle w:val="NormalWeb"/>
        <w:spacing w:line="276" w:lineRule="auto"/>
        <w:jc w:val="both"/>
        <w:rPr>
          <w:rFonts w:ascii="Aptos" w:hAnsi="Aptos"/>
          <w:lang w:val="sq-AL"/>
        </w:rPr>
      </w:pPr>
      <w:r w:rsidRPr="00B0548A">
        <w:rPr>
          <w:rFonts w:ascii="Aptos" w:hAnsi="Aptos"/>
          <w:lang w:val="sq-AL"/>
        </w:rPr>
        <w:t xml:space="preserve">Për sa më lart, për lehtësi pasqyrimi, propozimet gjenden në mënyrë </w:t>
      </w:r>
      <w:proofErr w:type="spellStart"/>
      <w:r w:rsidRPr="00B0548A">
        <w:rPr>
          <w:rFonts w:ascii="Aptos" w:hAnsi="Aptos"/>
          <w:lang w:val="sq-AL"/>
        </w:rPr>
        <w:t>tabelare</w:t>
      </w:r>
      <w:proofErr w:type="spellEnd"/>
      <w:r w:rsidRPr="00B0548A">
        <w:rPr>
          <w:rFonts w:ascii="Aptos" w:hAnsi="Aptos"/>
          <w:lang w:val="sq-AL"/>
        </w:rPr>
        <w:t>, duke reflektuar variantet që propozohen për ndryshim, për sa vijon:</w:t>
      </w:r>
    </w:p>
    <w:p w14:paraId="34487876" w14:textId="6ECD3674" w:rsidR="00E61D5B" w:rsidRPr="00B0548A" w:rsidRDefault="00E61D5B" w:rsidP="00E61D5B">
      <w:pPr>
        <w:pStyle w:val="Heading3"/>
        <w:rPr>
          <w:rFonts w:ascii="Aptos" w:hAnsi="Aptos"/>
          <w:b/>
          <w:sz w:val="24"/>
          <w:szCs w:val="24"/>
        </w:rPr>
      </w:pPr>
      <w:r w:rsidRPr="00B0548A">
        <w:rPr>
          <w:rStyle w:val="Strong"/>
          <w:rFonts w:ascii="Aptos" w:hAnsi="Aptos"/>
          <w:bCs w:val="0"/>
          <w:sz w:val="24"/>
          <w:szCs w:val="24"/>
        </w:rPr>
        <w:lastRenderedPageBreak/>
        <w:t>Ndryshimet Kryesore (pa krijimin e një komisioni të posaçëm):</w:t>
      </w:r>
    </w:p>
    <w:p w14:paraId="40FD1E01" w14:textId="77777777" w:rsidR="00B0548A" w:rsidRPr="00B0548A" w:rsidRDefault="00E61D5B" w:rsidP="00B0548A">
      <w:pPr>
        <w:pStyle w:val="NormalWeb"/>
        <w:numPr>
          <w:ilvl w:val="0"/>
          <w:numId w:val="59"/>
        </w:numPr>
        <w:rPr>
          <w:rFonts w:ascii="Aptos" w:hAnsi="Aptos"/>
          <w:lang w:val="sq-AL"/>
        </w:rPr>
      </w:pPr>
      <w:r w:rsidRPr="00B0548A">
        <w:rPr>
          <w:rFonts w:ascii="Aptos" w:hAnsi="Aptos"/>
          <w:lang w:val="sq-AL"/>
        </w:rPr>
        <w:t xml:space="preserve">Peticionet vijojnë të shqyrtohen nga </w:t>
      </w:r>
      <w:r w:rsidRPr="00B0548A">
        <w:rPr>
          <w:rStyle w:val="Strong"/>
          <w:rFonts w:ascii="Aptos" w:eastAsiaTheme="majorEastAsia" w:hAnsi="Aptos"/>
          <w:lang w:val="sq-AL"/>
        </w:rPr>
        <w:t>komisionet e përhershme</w:t>
      </w:r>
      <w:r w:rsidRPr="00B0548A">
        <w:rPr>
          <w:rFonts w:ascii="Aptos" w:hAnsi="Aptos"/>
          <w:lang w:val="sq-AL"/>
        </w:rPr>
        <w:t xml:space="preserve"> ekzistuese.</w:t>
      </w:r>
      <w:r w:rsidRPr="00B0548A">
        <w:rPr>
          <w:rFonts w:ascii="Aptos" w:hAnsi="Aptos"/>
          <w:lang w:val="sq-AL"/>
        </w:rPr>
        <w:br/>
        <w:t>Pranohen edhe peticionet në format elektronik.</w:t>
      </w:r>
    </w:p>
    <w:p w14:paraId="41C8D343" w14:textId="77777777" w:rsidR="00B0548A" w:rsidRPr="00B0548A" w:rsidRDefault="00E61D5B" w:rsidP="00B0548A">
      <w:pPr>
        <w:pStyle w:val="NormalWeb"/>
        <w:numPr>
          <w:ilvl w:val="0"/>
          <w:numId w:val="59"/>
        </w:numPr>
        <w:rPr>
          <w:rFonts w:ascii="Aptos" w:hAnsi="Aptos"/>
          <w:lang w:val="sq-AL"/>
        </w:rPr>
      </w:pPr>
      <w:r w:rsidRPr="00B0548A">
        <w:rPr>
          <w:rFonts w:ascii="Aptos" w:hAnsi="Aptos" w:cs="Apple Color Emoji"/>
          <w:lang w:val="sq-AL"/>
        </w:rPr>
        <w:t>P</w:t>
      </w:r>
      <w:r w:rsidRPr="00B0548A">
        <w:rPr>
          <w:rFonts w:ascii="Aptos" w:hAnsi="Aptos"/>
          <w:lang w:val="sq-AL"/>
        </w:rPr>
        <w:t>ë</w:t>
      </w:r>
      <w:r w:rsidRPr="00B0548A">
        <w:rPr>
          <w:rFonts w:ascii="Aptos" w:hAnsi="Aptos" w:cs="Apple Color Emoji"/>
          <w:lang w:val="sq-AL"/>
        </w:rPr>
        <w:t>rcaktimi i formatit t</w:t>
      </w:r>
      <w:r w:rsidRPr="00B0548A">
        <w:rPr>
          <w:rFonts w:ascii="Aptos" w:hAnsi="Aptos"/>
          <w:lang w:val="sq-AL"/>
        </w:rPr>
        <w:t xml:space="preserve">ë kërkuar për </w:t>
      </w:r>
      <w:proofErr w:type="spellStart"/>
      <w:r w:rsidRPr="00B0548A">
        <w:rPr>
          <w:rFonts w:ascii="Aptos" w:hAnsi="Aptos"/>
          <w:lang w:val="sq-AL"/>
        </w:rPr>
        <w:t>pranueshmësirinë</w:t>
      </w:r>
      <w:proofErr w:type="spellEnd"/>
      <w:r w:rsidRPr="00B0548A">
        <w:rPr>
          <w:rFonts w:ascii="Aptos" w:hAnsi="Aptos"/>
          <w:lang w:val="sq-AL"/>
        </w:rPr>
        <w:t xml:space="preserve"> e peticioneve.</w:t>
      </w:r>
    </w:p>
    <w:p w14:paraId="2D3745E1" w14:textId="1F1ED130" w:rsidR="00E61D5B" w:rsidRPr="00B0548A" w:rsidRDefault="00E61D5B" w:rsidP="00B0548A">
      <w:pPr>
        <w:pStyle w:val="NormalWeb"/>
        <w:numPr>
          <w:ilvl w:val="0"/>
          <w:numId w:val="59"/>
        </w:numPr>
        <w:rPr>
          <w:rFonts w:ascii="Aptos" w:hAnsi="Aptos"/>
          <w:lang w:val="sq-AL"/>
        </w:rPr>
      </w:pPr>
      <w:r w:rsidRPr="00B0548A">
        <w:rPr>
          <w:rFonts w:ascii="Aptos" w:hAnsi="Aptos" w:cs="Apple Color Emoji"/>
          <w:lang w:val="sq-AL"/>
        </w:rPr>
        <w:t>P</w:t>
      </w:r>
      <w:r w:rsidRPr="00B0548A">
        <w:rPr>
          <w:rFonts w:ascii="Aptos" w:hAnsi="Aptos"/>
          <w:lang w:val="sq-AL"/>
        </w:rPr>
        <w:t>ërfshirja e Konferencës së Kryetarëve për trajtimin e peticioneve</w:t>
      </w:r>
      <w:r w:rsidRPr="00B0548A">
        <w:rPr>
          <w:rFonts w:ascii="Aptos" w:hAnsi="Aptos"/>
          <w:lang w:val="sq-AL"/>
        </w:rPr>
        <w:br/>
        <w:t>Përcaktim i afateve të qarta për shqyrtim dhe përgjigje.</w:t>
      </w:r>
      <w:r w:rsidRPr="00B0548A">
        <w:rPr>
          <w:rFonts w:ascii="Aptos" w:hAnsi="Aptos"/>
          <w:lang w:val="sq-AL"/>
        </w:rPr>
        <w:br/>
        <w:t>Përfshirje e të drejtës për dëgjim dhe përfaqësim në seancë plenare.</w:t>
      </w:r>
      <w:r w:rsidRPr="00B0548A">
        <w:rPr>
          <w:rFonts w:ascii="Aptos" w:hAnsi="Aptos"/>
          <w:lang w:val="sq-AL"/>
        </w:rPr>
        <w:br/>
        <w:t>Detyrim për diskutim në seancë plenare për çështje me rëndësi të veçantë.</w:t>
      </w:r>
      <w:r w:rsidRPr="00B0548A">
        <w:rPr>
          <w:rFonts w:ascii="Aptos" w:hAnsi="Aptos"/>
          <w:lang w:val="sq-AL"/>
        </w:rPr>
        <w:br/>
      </w:r>
    </w:p>
    <w:tbl>
      <w:tblPr>
        <w:tblStyle w:val="TableGrid"/>
        <w:tblW w:w="0" w:type="auto"/>
        <w:tblLook w:val="04A0" w:firstRow="1" w:lastRow="0" w:firstColumn="1" w:lastColumn="0" w:noHBand="0" w:noVBand="1"/>
      </w:tblPr>
      <w:tblGrid>
        <w:gridCol w:w="2574"/>
        <w:gridCol w:w="1944"/>
        <w:gridCol w:w="2566"/>
        <w:gridCol w:w="2266"/>
      </w:tblGrid>
      <w:tr w:rsidR="00E61D5B" w:rsidRPr="00B0548A" w14:paraId="6104642D" w14:textId="77777777" w:rsidTr="007003E9">
        <w:tc>
          <w:tcPr>
            <w:tcW w:w="0" w:type="auto"/>
            <w:hideMark/>
          </w:tcPr>
          <w:p w14:paraId="3C809757" w14:textId="77777777" w:rsidR="00E61D5B" w:rsidRPr="00B0548A" w:rsidRDefault="00E61D5B" w:rsidP="007003E9">
            <w:pPr>
              <w:jc w:val="center"/>
              <w:rPr>
                <w:rFonts w:ascii="Aptos" w:hAnsi="Aptos"/>
                <w:bCs/>
              </w:rPr>
            </w:pPr>
            <w:r w:rsidRPr="00B0548A">
              <w:rPr>
                <w:rFonts w:ascii="Aptos" w:hAnsi="Aptos"/>
                <w:bCs/>
              </w:rPr>
              <w:t>Pika</w:t>
            </w:r>
          </w:p>
        </w:tc>
        <w:tc>
          <w:tcPr>
            <w:tcW w:w="1944" w:type="dxa"/>
            <w:hideMark/>
          </w:tcPr>
          <w:p w14:paraId="2C3AACD6" w14:textId="77777777" w:rsidR="00E61D5B" w:rsidRPr="00B0548A" w:rsidRDefault="00E61D5B" w:rsidP="007003E9">
            <w:pPr>
              <w:jc w:val="center"/>
              <w:rPr>
                <w:rFonts w:ascii="Aptos" w:hAnsi="Aptos"/>
                <w:bCs/>
              </w:rPr>
            </w:pPr>
            <w:r w:rsidRPr="00B0548A">
              <w:rPr>
                <w:rFonts w:ascii="Aptos" w:hAnsi="Aptos"/>
                <w:bCs/>
              </w:rPr>
              <w:t>Versioni Aktual i Nenit 104</w:t>
            </w:r>
          </w:p>
        </w:tc>
        <w:tc>
          <w:tcPr>
            <w:tcW w:w="2566" w:type="dxa"/>
            <w:hideMark/>
          </w:tcPr>
          <w:p w14:paraId="62056B7A" w14:textId="77777777" w:rsidR="00E61D5B" w:rsidRPr="00B0548A" w:rsidRDefault="00E61D5B" w:rsidP="007003E9">
            <w:pPr>
              <w:jc w:val="center"/>
              <w:rPr>
                <w:rFonts w:ascii="Aptos" w:hAnsi="Aptos"/>
                <w:bCs/>
              </w:rPr>
            </w:pPr>
            <w:r w:rsidRPr="00B0548A">
              <w:rPr>
                <w:rFonts w:ascii="Aptos" w:hAnsi="Aptos"/>
                <w:bCs/>
              </w:rPr>
              <w:t>Versioni i Propozuar (Me Komisionet e Përhershme përkatëse)</w:t>
            </w:r>
          </w:p>
        </w:tc>
        <w:tc>
          <w:tcPr>
            <w:tcW w:w="2266" w:type="dxa"/>
            <w:hideMark/>
          </w:tcPr>
          <w:p w14:paraId="04F90A14" w14:textId="77777777" w:rsidR="00E61D5B" w:rsidRPr="00B0548A" w:rsidRDefault="00E61D5B" w:rsidP="007003E9">
            <w:pPr>
              <w:jc w:val="center"/>
              <w:rPr>
                <w:rFonts w:ascii="Aptos" w:hAnsi="Aptos"/>
                <w:bCs/>
              </w:rPr>
            </w:pPr>
            <w:r w:rsidRPr="00B0548A">
              <w:rPr>
                <w:rFonts w:ascii="Aptos" w:hAnsi="Aptos"/>
                <w:bCs/>
              </w:rPr>
              <w:t>Ndryshimi Kryesor</w:t>
            </w:r>
          </w:p>
        </w:tc>
      </w:tr>
      <w:tr w:rsidR="00E61D5B" w:rsidRPr="00B0548A" w14:paraId="77BF93D7" w14:textId="77777777" w:rsidTr="007003E9">
        <w:tc>
          <w:tcPr>
            <w:tcW w:w="0" w:type="auto"/>
            <w:hideMark/>
          </w:tcPr>
          <w:p w14:paraId="0083F40F" w14:textId="77777777" w:rsidR="00E61D5B" w:rsidRPr="00B0548A" w:rsidRDefault="00E61D5B" w:rsidP="007003E9">
            <w:pPr>
              <w:rPr>
                <w:rFonts w:ascii="Aptos" w:hAnsi="Aptos"/>
              </w:rPr>
            </w:pPr>
            <w:r w:rsidRPr="00B0548A">
              <w:rPr>
                <w:rFonts w:ascii="Aptos" w:hAnsi="Aptos"/>
                <w:bCs/>
              </w:rPr>
              <w:t>1. Përbërja e Komisionit (pika 1 e nenit 104)</w:t>
            </w:r>
          </w:p>
        </w:tc>
        <w:tc>
          <w:tcPr>
            <w:tcW w:w="1944" w:type="dxa"/>
            <w:hideMark/>
          </w:tcPr>
          <w:p w14:paraId="61369187" w14:textId="77777777" w:rsidR="00E61D5B" w:rsidRPr="00B0548A" w:rsidRDefault="00E61D5B" w:rsidP="007003E9">
            <w:pPr>
              <w:rPr>
                <w:rFonts w:ascii="Aptos" w:hAnsi="Aptos"/>
              </w:rPr>
            </w:pPr>
            <w:r w:rsidRPr="00B0548A">
              <w:rPr>
                <w:rFonts w:ascii="Aptos" w:hAnsi="Aptos"/>
              </w:rPr>
              <w:t>Peticionet shqyrtohen nga komisionet e përhershme përkatëse.</w:t>
            </w:r>
          </w:p>
        </w:tc>
        <w:tc>
          <w:tcPr>
            <w:tcW w:w="2566" w:type="dxa"/>
            <w:hideMark/>
          </w:tcPr>
          <w:p w14:paraId="0579DD16" w14:textId="77777777" w:rsidR="00E61D5B" w:rsidRPr="00B0548A" w:rsidRDefault="00E61D5B" w:rsidP="007003E9">
            <w:pPr>
              <w:rPr>
                <w:rFonts w:ascii="Aptos" w:hAnsi="Aptos"/>
              </w:rPr>
            </w:pPr>
            <w:r w:rsidRPr="00B0548A">
              <w:rPr>
                <w:rFonts w:ascii="Aptos" w:hAnsi="Aptos"/>
              </w:rPr>
              <w:t xml:space="preserve">Peticionet vijojnë të shqyrtohen nga </w:t>
            </w:r>
            <w:r w:rsidRPr="00B0548A">
              <w:rPr>
                <w:rFonts w:ascii="Aptos" w:hAnsi="Aptos"/>
                <w:bCs/>
              </w:rPr>
              <w:t>komisionet e përhershme përkatëse</w:t>
            </w:r>
            <w:r w:rsidRPr="00B0548A">
              <w:rPr>
                <w:rFonts w:ascii="Aptos" w:hAnsi="Aptos"/>
              </w:rPr>
              <w:t>.</w:t>
            </w:r>
          </w:p>
        </w:tc>
        <w:tc>
          <w:tcPr>
            <w:tcW w:w="2266" w:type="dxa"/>
            <w:hideMark/>
          </w:tcPr>
          <w:p w14:paraId="2F23494B" w14:textId="77777777" w:rsidR="00E61D5B" w:rsidRPr="00B0548A" w:rsidRDefault="00E61D5B" w:rsidP="007003E9">
            <w:pPr>
              <w:rPr>
                <w:rFonts w:ascii="Aptos" w:hAnsi="Aptos"/>
              </w:rPr>
            </w:pPr>
            <w:r w:rsidRPr="00B0548A">
              <w:rPr>
                <w:rFonts w:ascii="Aptos" w:hAnsi="Aptos"/>
              </w:rPr>
              <w:t>Nuk ndryshon struktura e komisioneve ekzistuese.</w:t>
            </w:r>
          </w:p>
        </w:tc>
      </w:tr>
      <w:tr w:rsidR="00E61D5B" w:rsidRPr="00B0548A" w14:paraId="0162DDAB" w14:textId="77777777" w:rsidTr="007003E9">
        <w:tc>
          <w:tcPr>
            <w:tcW w:w="0" w:type="auto"/>
            <w:hideMark/>
          </w:tcPr>
          <w:p w14:paraId="0B9797E5" w14:textId="77777777" w:rsidR="00E61D5B" w:rsidRPr="00B0548A" w:rsidRDefault="00E61D5B" w:rsidP="007003E9">
            <w:pPr>
              <w:rPr>
                <w:rFonts w:ascii="Aptos" w:hAnsi="Aptos"/>
              </w:rPr>
            </w:pPr>
            <w:r w:rsidRPr="00B0548A">
              <w:rPr>
                <w:rFonts w:ascii="Aptos" w:hAnsi="Aptos"/>
                <w:bCs/>
              </w:rPr>
              <w:t>2. Dorëzimi i Peticionit (pika 2 e nenit 104)</w:t>
            </w:r>
          </w:p>
        </w:tc>
        <w:tc>
          <w:tcPr>
            <w:tcW w:w="1944" w:type="dxa"/>
            <w:hideMark/>
          </w:tcPr>
          <w:p w14:paraId="51AAD82C" w14:textId="77777777" w:rsidR="00E61D5B" w:rsidRPr="00B0548A" w:rsidRDefault="00E61D5B" w:rsidP="007003E9">
            <w:pPr>
              <w:rPr>
                <w:rFonts w:ascii="Aptos" w:hAnsi="Aptos"/>
              </w:rPr>
            </w:pPr>
            <w:r w:rsidRPr="00B0548A">
              <w:rPr>
                <w:rFonts w:ascii="Aptos" w:hAnsi="Aptos"/>
              </w:rPr>
              <w:t>Pranohen vetëm peticionet e bëra me shkrim që kanë emrin dhe nënshkrimin e dërguesit.</w:t>
            </w:r>
          </w:p>
        </w:tc>
        <w:tc>
          <w:tcPr>
            <w:tcW w:w="2566" w:type="dxa"/>
            <w:hideMark/>
          </w:tcPr>
          <w:p w14:paraId="223401BA" w14:textId="77777777" w:rsidR="00E61D5B" w:rsidRPr="00B0548A" w:rsidRDefault="00E61D5B" w:rsidP="007003E9">
            <w:pPr>
              <w:rPr>
                <w:rFonts w:ascii="Aptos" w:hAnsi="Aptos"/>
              </w:rPr>
            </w:pPr>
            <w:r w:rsidRPr="00B0548A">
              <w:rPr>
                <w:rFonts w:ascii="Aptos" w:hAnsi="Aptos"/>
              </w:rPr>
              <w:t xml:space="preserve">Pranohen edhe </w:t>
            </w:r>
            <w:r w:rsidRPr="00B0548A">
              <w:rPr>
                <w:rFonts w:ascii="Aptos" w:hAnsi="Aptos"/>
                <w:bCs/>
              </w:rPr>
              <w:t>peticionet n</w:t>
            </w:r>
            <w:r w:rsidRPr="00B0548A">
              <w:rPr>
                <w:rFonts w:ascii="Aptos" w:hAnsi="Aptos"/>
              </w:rPr>
              <w:t xml:space="preserve">ë formën </w:t>
            </w:r>
            <w:r w:rsidRPr="00B0548A">
              <w:rPr>
                <w:rFonts w:ascii="Aptos" w:hAnsi="Aptos"/>
                <w:bCs/>
              </w:rPr>
              <w:t>elektronike</w:t>
            </w:r>
            <w:r w:rsidRPr="00B0548A">
              <w:rPr>
                <w:rFonts w:ascii="Aptos" w:hAnsi="Aptos"/>
              </w:rPr>
              <w:t xml:space="preserve"> dhe duhet të përmbajnë: emrin, mbiemrin, vendlindjen, vendbanimin, profesionin, përshkrimin e situatës, të drejtën e shkelur, përfaqësuesit dhe kontaktet.</w:t>
            </w:r>
          </w:p>
        </w:tc>
        <w:tc>
          <w:tcPr>
            <w:tcW w:w="2266" w:type="dxa"/>
            <w:hideMark/>
          </w:tcPr>
          <w:p w14:paraId="40330C12" w14:textId="77777777" w:rsidR="00E61D5B" w:rsidRPr="00B0548A" w:rsidRDefault="00E61D5B" w:rsidP="007003E9">
            <w:pPr>
              <w:rPr>
                <w:rFonts w:ascii="Aptos" w:hAnsi="Aptos"/>
              </w:rPr>
            </w:pPr>
            <w:r w:rsidRPr="00B0548A">
              <w:rPr>
                <w:rFonts w:ascii="Aptos" w:hAnsi="Aptos"/>
              </w:rPr>
              <w:t xml:space="preserve">Përcaktimi i formatit të kërkuar për </w:t>
            </w:r>
            <w:proofErr w:type="spellStart"/>
            <w:r w:rsidRPr="00B0548A">
              <w:rPr>
                <w:rFonts w:ascii="Aptos" w:hAnsi="Aptos"/>
              </w:rPr>
              <w:t>pranueshmëri</w:t>
            </w:r>
            <w:proofErr w:type="spellEnd"/>
            <w:r w:rsidRPr="00B0548A">
              <w:rPr>
                <w:rFonts w:ascii="Aptos" w:hAnsi="Aptos"/>
              </w:rPr>
              <w:t xml:space="preserve"> dhe afatit për </w:t>
            </w:r>
            <w:proofErr w:type="spellStart"/>
            <w:r w:rsidRPr="00B0548A">
              <w:rPr>
                <w:rFonts w:ascii="Aptos" w:hAnsi="Aptos"/>
              </w:rPr>
              <w:t>rihartim</w:t>
            </w:r>
            <w:proofErr w:type="spellEnd"/>
            <w:r w:rsidRPr="00B0548A">
              <w:rPr>
                <w:rFonts w:ascii="Aptos" w:hAnsi="Aptos"/>
              </w:rPr>
              <w:t>/plotësim brenda 10 ditësh.</w:t>
            </w:r>
          </w:p>
        </w:tc>
      </w:tr>
      <w:tr w:rsidR="00E61D5B" w:rsidRPr="00B0548A" w14:paraId="3EA24BD1" w14:textId="77777777" w:rsidTr="007003E9">
        <w:tc>
          <w:tcPr>
            <w:tcW w:w="0" w:type="auto"/>
            <w:hideMark/>
          </w:tcPr>
          <w:p w14:paraId="48DE9567" w14:textId="77777777" w:rsidR="00E61D5B" w:rsidRPr="00B0548A" w:rsidRDefault="00E61D5B" w:rsidP="007003E9">
            <w:pPr>
              <w:rPr>
                <w:rFonts w:ascii="Aptos" w:hAnsi="Aptos"/>
              </w:rPr>
            </w:pPr>
            <w:r w:rsidRPr="00B0548A">
              <w:rPr>
                <w:rFonts w:ascii="Aptos" w:hAnsi="Aptos"/>
                <w:bCs/>
              </w:rPr>
              <w:t>3. Afati për plotësim dhe sqarime shtesë (pika 3 e nenit 104)</w:t>
            </w:r>
          </w:p>
        </w:tc>
        <w:tc>
          <w:tcPr>
            <w:tcW w:w="1944" w:type="dxa"/>
            <w:hideMark/>
          </w:tcPr>
          <w:p w14:paraId="1E1677AC" w14:textId="77777777" w:rsidR="00E61D5B" w:rsidRPr="00B0548A" w:rsidRDefault="00E61D5B" w:rsidP="007003E9">
            <w:pPr>
              <w:rPr>
                <w:rFonts w:ascii="Aptos" w:hAnsi="Aptos"/>
              </w:rPr>
            </w:pPr>
            <w:r w:rsidRPr="00B0548A">
              <w:rPr>
                <w:rFonts w:ascii="Aptos" w:hAnsi="Aptos"/>
              </w:rPr>
              <w:t>Kryetari mund ta kthejë peticionin për plotësim ose sqarime shtesë, pa afat të caktuar.</w:t>
            </w:r>
          </w:p>
        </w:tc>
        <w:tc>
          <w:tcPr>
            <w:tcW w:w="2566" w:type="dxa"/>
            <w:hideMark/>
          </w:tcPr>
          <w:p w14:paraId="5EF9CBF6" w14:textId="77777777" w:rsidR="00E61D5B" w:rsidRPr="00B0548A" w:rsidRDefault="00E61D5B" w:rsidP="007003E9">
            <w:pPr>
              <w:rPr>
                <w:rFonts w:ascii="Aptos" w:hAnsi="Aptos"/>
              </w:rPr>
            </w:pPr>
            <w:r w:rsidRPr="00B0548A">
              <w:rPr>
                <w:rFonts w:ascii="Aptos" w:hAnsi="Aptos"/>
              </w:rPr>
              <w:t xml:space="preserve">Peticioni dërgohet nga Kryetari tek </w:t>
            </w:r>
            <w:r w:rsidRPr="00B0548A">
              <w:rPr>
                <w:rStyle w:val="Strong"/>
                <w:rFonts w:ascii="Aptos" w:eastAsiaTheme="majorEastAsia" w:hAnsi="Aptos"/>
              </w:rPr>
              <w:t>Konferenca e Kryetarëve</w:t>
            </w:r>
            <w:r w:rsidRPr="00B0548A">
              <w:rPr>
                <w:rFonts w:ascii="Aptos" w:hAnsi="Aptos"/>
              </w:rPr>
              <w:t xml:space="preserve"> dhe më pas tek komisioni i përhershëm që ka lidhje me objektin e paraqitur në peticion.</w:t>
            </w:r>
          </w:p>
          <w:p w14:paraId="30128B56" w14:textId="77777777" w:rsidR="00E61D5B" w:rsidRPr="00B0548A" w:rsidRDefault="00E61D5B" w:rsidP="007003E9">
            <w:pPr>
              <w:rPr>
                <w:rFonts w:ascii="Aptos" w:hAnsi="Aptos"/>
              </w:rPr>
            </w:pPr>
            <w:r w:rsidRPr="00B0548A">
              <w:rPr>
                <w:rFonts w:ascii="Aptos" w:hAnsi="Aptos"/>
              </w:rPr>
              <w:t xml:space="preserve">Afati për kthim për plotësime shtesë është </w:t>
            </w:r>
            <w:r w:rsidRPr="00B0548A">
              <w:rPr>
                <w:rFonts w:ascii="Aptos" w:hAnsi="Aptos"/>
                <w:bCs/>
              </w:rPr>
              <w:t>deri në 10 ditë pune</w:t>
            </w:r>
            <w:r w:rsidRPr="00B0548A">
              <w:rPr>
                <w:rFonts w:ascii="Aptos" w:hAnsi="Aptos"/>
              </w:rPr>
              <w:t>.</w:t>
            </w:r>
          </w:p>
        </w:tc>
        <w:tc>
          <w:tcPr>
            <w:tcW w:w="2266" w:type="dxa"/>
            <w:hideMark/>
          </w:tcPr>
          <w:p w14:paraId="52783C74" w14:textId="77777777" w:rsidR="00E61D5B" w:rsidRPr="00B0548A" w:rsidRDefault="00E61D5B" w:rsidP="007003E9">
            <w:pPr>
              <w:rPr>
                <w:rFonts w:ascii="Aptos" w:hAnsi="Aptos"/>
              </w:rPr>
            </w:pPr>
            <w:r w:rsidRPr="00B0548A">
              <w:rPr>
                <w:rFonts w:ascii="Aptos" w:hAnsi="Aptos"/>
              </w:rPr>
              <w:t xml:space="preserve">Shqyrtimi paraprak i peticionit nga Konferenca e Kryetarëve, e cila përcakton komisionin e përhershëm përgjegjës </w:t>
            </w:r>
          </w:p>
          <w:p w14:paraId="69B422A7" w14:textId="77777777" w:rsidR="00E61D5B" w:rsidRPr="00B0548A" w:rsidRDefault="00E61D5B" w:rsidP="007003E9">
            <w:pPr>
              <w:rPr>
                <w:rFonts w:ascii="Aptos" w:hAnsi="Aptos"/>
              </w:rPr>
            </w:pPr>
            <w:r w:rsidRPr="00B0548A">
              <w:rPr>
                <w:rFonts w:ascii="Aptos" w:hAnsi="Aptos"/>
              </w:rPr>
              <w:t>Përcaktim i afatit të qartë për plotësim dhe kthim për plotësime shtesë.</w:t>
            </w:r>
          </w:p>
        </w:tc>
      </w:tr>
      <w:tr w:rsidR="00E61D5B" w:rsidRPr="00B0548A" w14:paraId="1728D69E" w14:textId="77777777" w:rsidTr="007003E9">
        <w:tc>
          <w:tcPr>
            <w:tcW w:w="0" w:type="auto"/>
            <w:hideMark/>
          </w:tcPr>
          <w:p w14:paraId="73436105" w14:textId="77777777" w:rsidR="00E61D5B" w:rsidRPr="00B0548A" w:rsidRDefault="00E61D5B" w:rsidP="007003E9">
            <w:pPr>
              <w:rPr>
                <w:rFonts w:ascii="Aptos" w:hAnsi="Aptos"/>
              </w:rPr>
            </w:pPr>
            <w:r w:rsidRPr="00B0548A">
              <w:rPr>
                <w:rFonts w:ascii="Aptos" w:hAnsi="Aptos"/>
                <w:bCs/>
              </w:rPr>
              <w:lastRenderedPageBreak/>
              <w:t>4. Afati për shqyrtim të peticionit (pika 4 e nenit 104)</w:t>
            </w:r>
          </w:p>
        </w:tc>
        <w:tc>
          <w:tcPr>
            <w:tcW w:w="1944" w:type="dxa"/>
            <w:hideMark/>
          </w:tcPr>
          <w:p w14:paraId="7AEE03AF" w14:textId="77777777" w:rsidR="00E61D5B" w:rsidRPr="00B0548A" w:rsidRDefault="00E61D5B" w:rsidP="007003E9">
            <w:pPr>
              <w:rPr>
                <w:rFonts w:ascii="Aptos" w:hAnsi="Aptos"/>
              </w:rPr>
            </w:pPr>
            <w:r w:rsidRPr="00B0548A">
              <w:rPr>
                <w:rFonts w:ascii="Aptos" w:hAnsi="Aptos"/>
              </w:rPr>
              <w:t>Afati për shqyrtim është 45 ditë.</w:t>
            </w:r>
          </w:p>
        </w:tc>
        <w:tc>
          <w:tcPr>
            <w:tcW w:w="2566" w:type="dxa"/>
            <w:hideMark/>
          </w:tcPr>
          <w:p w14:paraId="18104EFB" w14:textId="77777777" w:rsidR="00E61D5B" w:rsidRPr="00B0548A" w:rsidRDefault="00E61D5B" w:rsidP="007003E9">
            <w:pPr>
              <w:rPr>
                <w:rFonts w:ascii="Aptos" w:hAnsi="Aptos"/>
              </w:rPr>
            </w:pPr>
            <w:r w:rsidRPr="00B0548A">
              <w:rPr>
                <w:rFonts w:ascii="Aptos" w:hAnsi="Aptos"/>
              </w:rPr>
              <w:t xml:space="preserve">Afati mbetet 45 ditë, por gjatë kësaj faze kërkohet informacion dhe dokumentacion nga institucionet e tjera brenda </w:t>
            </w:r>
            <w:r w:rsidRPr="00B0548A">
              <w:rPr>
                <w:rFonts w:ascii="Aptos" w:hAnsi="Aptos"/>
                <w:bCs/>
              </w:rPr>
              <w:t>10 ditësh</w:t>
            </w:r>
            <w:r w:rsidRPr="00B0548A">
              <w:rPr>
                <w:rFonts w:ascii="Aptos" w:hAnsi="Aptos"/>
              </w:rPr>
              <w:t>.</w:t>
            </w:r>
          </w:p>
        </w:tc>
        <w:tc>
          <w:tcPr>
            <w:tcW w:w="2266" w:type="dxa"/>
            <w:hideMark/>
          </w:tcPr>
          <w:p w14:paraId="44B2B725" w14:textId="77777777" w:rsidR="00E61D5B" w:rsidRPr="00B0548A" w:rsidRDefault="00E61D5B" w:rsidP="007003E9">
            <w:pPr>
              <w:rPr>
                <w:rFonts w:ascii="Aptos" w:hAnsi="Aptos"/>
              </w:rPr>
            </w:pPr>
            <w:r w:rsidRPr="00B0548A">
              <w:rPr>
                <w:rFonts w:ascii="Aptos" w:hAnsi="Aptos"/>
              </w:rPr>
              <w:t>Përcaktimi i afatit për përgjigje nga institucionet e tjera.</w:t>
            </w:r>
          </w:p>
        </w:tc>
      </w:tr>
      <w:tr w:rsidR="00E61D5B" w:rsidRPr="00B0548A" w14:paraId="1050C0BC" w14:textId="77777777" w:rsidTr="007003E9">
        <w:tc>
          <w:tcPr>
            <w:tcW w:w="0" w:type="auto"/>
            <w:hideMark/>
          </w:tcPr>
          <w:p w14:paraId="14BE2C84" w14:textId="77777777" w:rsidR="00E61D5B" w:rsidRPr="00B0548A" w:rsidRDefault="00E61D5B" w:rsidP="007003E9">
            <w:pPr>
              <w:rPr>
                <w:rFonts w:ascii="Aptos" w:hAnsi="Aptos"/>
              </w:rPr>
            </w:pPr>
            <w:r w:rsidRPr="00B0548A">
              <w:rPr>
                <w:rFonts w:ascii="Aptos" w:hAnsi="Aptos"/>
                <w:bCs/>
              </w:rPr>
              <w:t>5. E drejta për t’u dëgjuar ( pik</w:t>
            </w:r>
            <w:r w:rsidRPr="00B0548A">
              <w:rPr>
                <w:rFonts w:ascii="Aptos" w:hAnsi="Aptos"/>
              </w:rPr>
              <w:t>ë shtesë e nenit 104)</w:t>
            </w:r>
          </w:p>
        </w:tc>
        <w:tc>
          <w:tcPr>
            <w:tcW w:w="1944" w:type="dxa"/>
            <w:hideMark/>
          </w:tcPr>
          <w:p w14:paraId="5EBE7182" w14:textId="77777777" w:rsidR="00E61D5B" w:rsidRPr="00B0548A" w:rsidRDefault="00E61D5B" w:rsidP="007003E9">
            <w:pPr>
              <w:rPr>
                <w:rFonts w:ascii="Aptos" w:hAnsi="Aptos"/>
              </w:rPr>
            </w:pPr>
            <w:r w:rsidRPr="00B0548A">
              <w:rPr>
                <w:rFonts w:ascii="Aptos" w:hAnsi="Aptos"/>
              </w:rPr>
              <w:t>Nuk përmendet mundësia e dëgjimit të palëve.</w:t>
            </w:r>
          </w:p>
        </w:tc>
        <w:tc>
          <w:tcPr>
            <w:tcW w:w="2566" w:type="dxa"/>
            <w:hideMark/>
          </w:tcPr>
          <w:p w14:paraId="4B1572D9" w14:textId="77777777" w:rsidR="00E61D5B" w:rsidRPr="00B0548A" w:rsidRDefault="00E61D5B" w:rsidP="007003E9">
            <w:pPr>
              <w:rPr>
                <w:rFonts w:ascii="Aptos" w:hAnsi="Aptos"/>
              </w:rPr>
            </w:pPr>
            <w:r w:rsidRPr="00B0548A">
              <w:rPr>
                <w:rFonts w:ascii="Aptos" w:hAnsi="Aptos"/>
              </w:rPr>
              <w:t xml:space="preserve">Kryetari mund të thërrasë dërguesit për </w:t>
            </w:r>
            <w:r w:rsidRPr="00B0548A">
              <w:rPr>
                <w:rFonts w:ascii="Aptos" w:hAnsi="Aptos"/>
                <w:bCs/>
              </w:rPr>
              <w:t>takim dhe dëgjim paraprak</w:t>
            </w:r>
            <w:r w:rsidRPr="00B0548A">
              <w:rPr>
                <w:rFonts w:ascii="Aptos" w:hAnsi="Aptos"/>
              </w:rPr>
              <w:t xml:space="preserve"> si pjesë e të drejtës për t’u dëgjuar.</w:t>
            </w:r>
          </w:p>
        </w:tc>
        <w:tc>
          <w:tcPr>
            <w:tcW w:w="2266" w:type="dxa"/>
            <w:hideMark/>
          </w:tcPr>
          <w:p w14:paraId="10E3DAE2" w14:textId="77777777" w:rsidR="00E61D5B" w:rsidRPr="00B0548A" w:rsidRDefault="00E61D5B" w:rsidP="007003E9">
            <w:pPr>
              <w:rPr>
                <w:rFonts w:ascii="Aptos" w:hAnsi="Aptos"/>
              </w:rPr>
            </w:pPr>
            <w:r w:rsidRPr="00B0548A">
              <w:rPr>
                <w:rFonts w:ascii="Aptos" w:hAnsi="Aptos"/>
              </w:rPr>
              <w:t>Përfshirja e të drejtës për t’u dëgjuar.</w:t>
            </w:r>
          </w:p>
        </w:tc>
      </w:tr>
      <w:tr w:rsidR="00E61D5B" w:rsidRPr="00B0548A" w14:paraId="0B2BC694" w14:textId="77777777" w:rsidTr="007003E9">
        <w:tc>
          <w:tcPr>
            <w:tcW w:w="0" w:type="auto"/>
            <w:hideMark/>
          </w:tcPr>
          <w:p w14:paraId="04FE9B5B" w14:textId="77777777" w:rsidR="00E61D5B" w:rsidRPr="00B0548A" w:rsidRDefault="00E61D5B" w:rsidP="007003E9">
            <w:pPr>
              <w:rPr>
                <w:rFonts w:ascii="Aptos" w:hAnsi="Aptos"/>
              </w:rPr>
            </w:pPr>
            <w:r w:rsidRPr="00B0548A">
              <w:rPr>
                <w:rFonts w:ascii="Aptos" w:hAnsi="Aptos"/>
                <w:bCs/>
              </w:rPr>
              <w:t>6. Diskutimi në seancë plenare ( pika 4 e nenit 104)</w:t>
            </w:r>
          </w:p>
        </w:tc>
        <w:tc>
          <w:tcPr>
            <w:tcW w:w="1944" w:type="dxa"/>
            <w:hideMark/>
          </w:tcPr>
          <w:p w14:paraId="369AA83C" w14:textId="77777777" w:rsidR="00E61D5B" w:rsidRPr="00B0548A" w:rsidRDefault="00E61D5B" w:rsidP="007003E9">
            <w:pPr>
              <w:rPr>
                <w:rFonts w:ascii="Aptos" w:hAnsi="Aptos"/>
              </w:rPr>
            </w:pPr>
            <w:r w:rsidRPr="00B0548A">
              <w:rPr>
                <w:rFonts w:ascii="Aptos" w:hAnsi="Aptos"/>
              </w:rPr>
              <w:t xml:space="preserve">Diskutimi në seancë plenare është </w:t>
            </w:r>
            <w:proofErr w:type="spellStart"/>
            <w:r w:rsidRPr="00B0548A">
              <w:rPr>
                <w:rFonts w:ascii="Aptos" w:hAnsi="Aptos"/>
              </w:rPr>
              <w:t>opsional</w:t>
            </w:r>
            <w:proofErr w:type="spellEnd"/>
            <w:r w:rsidRPr="00B0548A">
              <w:rPr>
                <w:rFonts w:ascii="Aptos" w:hAnsi="Aptos"/>
              </w:rPr>
              <w:t>.</w:t>
            </w:r>
          </w:p>
        </w:tc>
        <w:tc>
          <w:tcPr>
            <w:tcW w:w="2566" w:type="dxa"/>
            <w:hideMark/>
          </w:tcPr>
          <w:p w14:paraId="6634C5C9" w14:textId="77777777" w:rsidR="00E61D5B" w:rsidRPr="00B0548A" w:rsidRDefault="00E61D5B" w:rsidP="007003E9">
            <w:pPr>
              <w:rPr>
                <w:rFonts w:ascii="Aptos" w:hAnsi="Aptos"/>
              </w:rPr>
            </w:pPr>
            <w:r w:rsidRPr="00B0548A">
              <w:rPr>
                <w:rFonts w:ascii="Aptos" w:hAnsi="Aptos"/>
              </w:rPr>
              <w:t xml:space="preserve">Nëse çështja ka </w:t>
            </w:r>
            <w:r w:rsidRPr="00B0548A">
              <w:rPr>
                <w:rFonts w:ascii="Aptos" w:hAnsi="Aptos"/>
                <w:bCs/>
              </w:rPr>
              <w:t>rëndësi të veçantë</w:t>
            </w:r>
            <w:r w:rsidRPr="00B0548A">
              <w:rPr>
                <w:rFonts w:ascii="Aptos" w:hAnsi="Aptos"/>
              </w:rPr>
              <w:t xml:space="preserve"> ose ndikon në </w:t>
            </w:r>
            <w:r w:rsidRPr="00B0548A">
              <w:rPr>
                <w:rFonts w:ascii="Aptos" w:hAnsi="Aptos"/>
                <w:bCs/>
              </w:rPr>
              <w:t>politika publike</w:t>
            </w:r>
            <w:r w:rsidRPr="00B0548A">
              <w:rPr>
                <w:rFonts w:ascii="Aptos" w:hAnsi="Aptos"/>
              </w:rPr>
              <w:t xml:space="preserve">, komisioni është </w:t>
            </w:r>
            <w:r w:rsidRPr="00B0548A">
              <w:rPr>
                <w:rFonts w:ascii="Aptos" w:hAnsi="Aptos"/>
                <w:bCs/>
              </w:rPr>
              <w:t>i detyruar</w:t>
            </w:r>
            <w:r w:rsidRPr="00B0548A">
              <w:rPr>
                <w:rFonts w:ascii="Aptos" w:hAnsi="Aptos"/>
              </w:rPr>
              <w:t xml:space="preserve"> ta referojë për diskutim në seancë plenare.</w:t>
            </w:r>
          </w:p>
        </w:tc>
        <w:tc>
          <w:tcPr>
            <w:tcW w:w="2266" w:type="dxa"/>
            <w:hideMark/>
          </w:tcPr>
          <w:p w14:paraId="11948E82" w14:textId="77777777" w:rsidR="00E61D5B" w:rsidRPr="00B0548A" w:rsidRDefault="00E61D5B" w:rsidP="007003E9">
            <w:pPr>
              <w:rPr>
                <w:rFonts w:ascii="Aptos" w:hAnsi="Aptos"/>
              </w:rPr>
            </w:pPr>
            <w:r w:rsidRPr="00B0548A">
              <w:rPr>
                <w:rFonts w:ascii="Aptos" w:hAnsi="Aptos"/>
              </w:rPr>
              <w:t>Detyrim për diskutim për çështje me rëndësi të veçantë.</w:t>
            </w:r>
          </w:p>
        </w:tc>
      </w:tr>
      <w:tr w:rsidR="00E61D5B" w:rsidRPr="00B0548A" w14:paraId="51ACA82D" w14:textId="77777777" w:rsidTr="007003E9">
        <w:tc>
          <w:tcPr>
            <w:tcW w:w="0" w:type="auto"/>
            <w:hideMark/>
          </w:tcPr>
          <w:p w14:paraId="296DDBD5" w14:textId="77777777" w:rsidR="00E61D5B" w:rsidRPr="00B0548A" w:rsidRDefault="00E61D5B" w:rsidP="007003E9">
            <w:pPr>
              <w:rPr>
                <w:rFonts w:ascii="Aptos" w:hAnsi="Aptos"/>
              </w:rPr>
            </w:pPr>
            <w:r w:rsidRPr="00B0548A">
              <w:rPr>
                <w:rFonts w:ascii="Aptos" w:hAnsi="Aptos"/>
                <w:bCs/>
              </w:rPr>
              <w:t>7. E drejta për përfaqësim në seancë plenare ( pik</w:t>
            </w:r>
            <w:r w:rsidRPr="00B0548A">
              <w:rPr>
                <w:rFonts w:ascii="Aptos" w:hAnsi="Aptos"/>
              </w:rPr>
              <w:t>ë shtesë në nenin 104)</w:t>
            </w:r>
          </w:p>
        </w:tc>
        <w:tc>
          <w:tcPr>
            <w:tcW w:w="1944" w:type="dxa"/>
            <w:hideMark/>
          </w:tcPr>
          <w:p w14:paraId="76973977" w14:textId="77777777" w:rsidR="00E61D5B" w:rsidRPr="00B0548A" w:rsidRDefault="00E61D5B" w:rsidP="007003E9">
            <w:pPr>
              <w:rPr>
                <w:rFonts w:ascii="Aptos" w:hAnsi="Aptos"/>
              </w:rPr>
            </w:pPr>
            <w:r w:rsidRPr="00B0548A">
              <w:rPr>
                <w:rFonts w:ascii="Aptos" w:hAnsi="Aptos"/>
              </w:rPr>
              <w:t>Nuk përmendet përfaqësimi i dërguesve në seancë plenare.</w:t>
            </w:r>
          </w:p>
        </w:tc>
        <w:tc>
          <w:tcPr>
            <w:tcW w:w="2566" w:type="dxa"/>
            <w:hideMark/>
          </w:tcPr>
          <w:p w14:paraId="22848830" w14:textId="77777777" w:rsidR="00E61D5B" w:rsidRPr="00B0548A" w:rsidRDefault="00E61D5B" w:rsidP="007003E9">
            <w:pPr>
              <w:rPr>
                <w:rFonts w:ascii="Aptos" w:hAnsi="Aptos"/>
              </w:rPr>
            </w:pPr>
            <w:r w:rsidRPr="00B0548A">
              <w:rPr>
                <w:rFonts w:ascii="Aptos" w:hAnsi="Aptos"/>
              </w:rPr>
              <w:t xml:space="preserve">Nëse peticioni diskutohet në seancë plenare, </w:t>
            </w:r>
            <w:r w:rsidRPr="00B0548A">
              <w:rPr>
                <w:rFonts w:ascii="Aptos" w:hAnsi="Aptos"/>
                <w:bCs/>
              </w:rPr>
              <w:t>dërguesit kanë të drejtën të dëgjohen</w:t>
            </w:r>
            <w:r w:rsidRPr="00B0548A">
              <w:rPr>
                <w:rFonts w:ascii="Aptos" w:hAnsi="Aptos"/>
              </w:rPr>
              <w:t xml:space="preserve"> dhe të kontribuojnë në vendimmarrje.</w:t>
            </w:r>
          </w:p>
        </w:tc>
        <w:tc>
          <w:tcPr>
            <w:tcW w:w="2266" w:type="dxa"/>
            <w:hideMark/>
          </w:tcPr>
          <w:p w14:paraId="516959F3" w14:textId="77777777" w:rsidR="00E61D5B" w:rsidRPr="00B0548A" w:rsidRDefault="00E61D5B" w:rsidP="007003E9">
            <w:pPr>
              <w:rPr>
                <w:rFonts w:ascii="Aptos" w:hAnsi="Aptos"/>
              </w:rPr>
            </w:pPr>
            <w:r w:rsidRPr="00B0548A">
              <w:rPr>
                <w:rFonts w:ascii="Aptos" w:hAnsi="Aptos"/>
              </w:rPr>
              <w:t>Përfshirja e qytetarëve në procesin parlamentar.</w:t>
            </w:r>
          </w:p>
        </w:tc>
      </w:tr>
      <w:tr w:rsidR="00E61D5B" w:rsidRPr="00B0548A" w14:paraId="434645F9" w14:textId="77777777" w:rsidTr="007003E9">
        <w:tc>
          <w:tcPr>
            <w:tcW w:w="0" w:type="auto"/>
            <w:hideMark/>
          </w:tcPr>
          <w:p w14:paraId="67BCAB93" w14:textId="77777777" w:rsidR="00E61D5B" w:rsidRPr="00B0548A" w:rsidRDefault="00E61D5B" w:rsidP="007003E9">
            <w:pPr>
              <w:rPr>
                <w:rFonts w:ascii="Aptos" w:hAnsi="Aptos"/>
              </w:rPr>
            </w:pPr>
            <w:r w:rsidRPr="00B0548A">
              <w:rPr>
                <w:rFonts w:ascii="Aptos" w:hAnsi="Aptos"/>
                <w:bCs/>
              </w:rPr>
              <w:t>8. Kompetencat për përfundimin e procesit ( pik</w:t>
            </w:r>
            <w:r w:rsidRPr="00B0548A">
              <w:rPr>
                <w:rFonts w:ascii="Aptos" w:hAnsi="Aptos"/>
              </w:rPr>
              <w:t>ë shtesë</w:t>
            </w:r>
            <w:r w:rsidRPr="00B0548A">
              <w:rPr>
                <w:rFonts w:ascii="Aptos" w:hAnsi="Aptos"/>
                <w:bCs/>
              </w:rPr>
              <w:t xml:space="preserve"> e nenit 104)</w:t>
            </w:r>
          </w:p>
        </w:tc>
        <w:tc>
          <w:tcPr>
            <w:tcW w:w="1944" w:type="dxa"/>
            <w:hideMark/>
          </w:tcPr>
          <w:p w14:paraId="4C0F0F74" w14:textId="77777777" w:rsidR="00E61D5B" w:rsidRPr="00B0548A" w:rsidRDefault="00E61D5B" w:rsidP="007003E9">
            <w:pPr>
              <w:rPr>
                <w:rFonts w:ascii="Aptos" w:hAnsi="Aptos"/>
              </w:rPr>
            </w:pPr>
            <w:r w:rsidRPr="00B0548A">
              <w:rPr>
                <w:rFonts w:ascii="Aptos" w:hAnsi="Aptos"/>
              </w:rPr>
              <w:t>Komisioni mund të japë shpjegime, të propozojë një nismë ligjore ose të marrë një vendim.</w:t>
            </w:r>
          </w:p>
        </w:tc>
        <w:tc>
          <w:tcPr>
            <w:tcW w:w="2566" w:type="dxa"/>
            <w:hideMark/>
          </w:tcPr>
          <w:p w14:paraId="78D0A1F0" w14:textId="77777777" w:rsidR="00E61D5B" w:rsidRPr="00B0548A" w:rsidRDefault="00E61D5B" w:rsidP="007003E9">
            <w:pPr>
              <w:rPr>
                <w:rFonts w:ascii="Aptos" w:hAnsi="Aptos"/>
              </w:rPr>
            </w:pPr>
            <w:r w:rsidRPr="00B0548A">
              <w:rPr>
                <w:rFonts w:ascii="Aptos" w:hAnsi="Aptos"/>
              </w:rPr>
              <w:t xml:space="preserve">Komisioni </w:t>
            </w:r>
            <w:r w:rsidRPr="00B0548A">
              <w:rPr>
                <w:rFonts w:ascii="Aptos" w:hAnsi="Aptos"/>
                <w:bCs/>
              </w:rPr>
              <w:t>jep shpjegime me shkrim</w:t>
            </w:r>
            <w:r w:rsidRPr="00B0548A">
              <w:rPr>
                <w:rFonts w:ascii="Aptos" w:hAnsi="Aptos"/>
              </w:rPr>
              <w:t xml:space="preserve">, </w:t>
            </w:r>
            <w:r w:rsidRPr="00B0548A">
              <w:rPr>
                <w:rFonts w:ascii="Aptos" w:hAnsi="Aptos"/>
                <w:bCs/>
              </w:rPr>
              <w:t>propozon nismë ligjore</w:t>
            </w:r>
            <w:r w:rsidRPr="00B0548A">
              <w:rPr>
                <w:rFonts w:ascii="Aptos" w:hAnsi="Aptos"/>
              </w:rPr>
              <w:t xml:space="preserve"> ose </w:t>
            </w:r>
            <w:r w:rsidRPr="00B0548A">
              <w:rPr>
                <w:rFonts w:ascii="Aptos" w:hAnsi="Aptos"/>
                <w:bCs/>
              </w:rPr>
              <w:t>merr vendim</w:t>
            </w:r>
            <w:r w:rsidRPr="00B0548A">
              <w:rPr>
                <w:rFonts w:ascii="Aptos" w:hAnsi="Aptos"/>
              </w:rPr>
              <w:t>.</w:t>
            </w:r>
          </w:p>
        </w:tc>
        <w:tc>
          <w:tcPr>
            <w:tcW w:w="2266" w:type="dxa"/>
            <w:hideMark/>
          </w:tcPr>
          <w:p w14:paraId="76E17B5B" w14:textId="77777777" w:rsidR="00E61D5B" w:rsidRPr="00B0548A" w:rsidRDefault="00E61D5B" w:rsidP="007003E9">
            <w:pPr>
              <w:rPr>
                <w:rFonts w:ascii="Aptos" w:hAnsi="Aptos"/>
              </w:rPr>
            </w:pPr>
            <w:r w:rsidRPr="00B0548A">
              <w:rPr>
                <w:rFonts w:ascii="Aptos" w:hAnsi="Aptos"/>
              </w:rPr>
              <w:t>Përcaktimi më i qartë në lidhje me natyrën e vendimmarrjes së komisionit.</w:t>
            </w:r>
          </w:p>
        </w:tc>
      </w:tr>
    </w:tbl>
    <w:p w14:paraId="79F73B4B" w14:textId="77777777" w:rsidR="00E61D5B" w:rsidRPr="00B0548A" w:rsidRDefault="00E61D5B" w:rsidP="00E61D5B">
      <w:pPr>
        <w:spacing w:line="276" w:lineRule="auto"/>
        <w:rPr>
          <w:rFonts w:ascii="Aptos" w:hAnsi="Aptos"/>
        </w:rPr>
      </w:pPr>
    </w:p>
    <w:p w14:paraId="1CAAA449" w14:textId="77777777" w:rsidR="00E61D5B" w:rsidRPr="00B0548A" w:rsidRDefault="00E61D5B" w:rsidP="00E61D5B">
      <w:pPr>
        <w:spacing w:line="276" w:lineRule="auto"/>
        <w:rPr>
          <w:rStyle w:val="Strong"/>
          <w:rFonts w:ascii="Aptos" w:eastAsiaTheme="majorEastAsia" w:hAnsi="Aptos"/>
          <w:b w:val="0"/>
          <w:bCs w:val="0"/>
          <w:color w:val="4472C4" w:themeColor="accent1"/>
        </w:rPr>
      </w:pPr>
    </w:p>
    <w:p w14:paraId="596D37B2" w14:textId="77777777" w:rsidR="00E61D5B" w:rsidRPr="00B0548A" w:rsidRDefault="00E61D5B" w:rsidP="00E61D5B">
      <w:pPr>
        <w:pStyle w:val="NormalWeb"/>
        <w:numPr>
          <w:ilvl w:val="0"/>
          <w:numId w:val="54"/>
        </w:numPr>
        <w:spacing w:line="276" w:lineRule="auto"/>
        <w:rPr>
          <w:rFonts w:ascii="Aptos" w:hAnsi="Aptos"/>
          <w:color w:val="4472C4" w:themeColor="accent1"/>
          <w:lang w:val="sq-AL"/>
        </w:rPr>
      </w:pPr>
      <w:r w:rsidRPr="00B0548A">
        <w:rPr>
          <w:rFonts w:ascii="Aptos" w:hAnsi="Aptos"/>
          <w:color w:val="4472C4" w:themeColor="accent1"/>
          <w:lang w:val="sq-AL"/>
        </w:rPr>
        <w:t>Në lidhje me formatin e peticionit</w:t>
      </w:r>
    </w:p>
    <w:p w14:paraId="4DFE83D3" w14:textId="77777777" w:rsidR="00E61D5B" w:rsidRPr="00B0548A" w:rsidRDefault="00E61D5B" w:rsidP="00E61D5B">
      <w:pPr>
        <w:spacing w:before="100" w:beforeAutospacing="1" w:after="100" w:afterAutospacing="1"/>
        <w:rPr>
          <w:rFonts w:ascii="Aptos" w:hAnsi="Aptos"/>
        </w:rPr>
      </w:pPr>
      <w:r w:rsidRPr="00B0548A">
        <w:rPr>
          <w:rFonts w:ascii="Aptos" w:hAnsi="Aptos"/>
        </w:rPr>
        <w:t xml:space="preserve">Modeli britanik dhe ai i BE-së ofrojnë platforma </w:t>
      </w:r>
      <w:proofErr w:type="spellStart"/>
      <w:r w:rsidRPr="00B0548A">
        <w:rPr>
          <w:rFonts w:ascii="Aptos" w:hAnsi="Aptos"/>
        </w:rPr>
        <w:t>online</w:t>
      </w:r>
      <w:proofErr w:type="spellEnd"/>
      <w:r w:rsidRPr="00B0548A">
        <w:rPr>
          <w:rFonts w:ascii="Aptos" w:hAnsi="Aptos"/>
        </w:rPr>
        <w:t xml:space="preserve"> për mbledhjen e nënshkrimeve, duke krijuar një mënyrë efektive për të përfshirë publikun dhe për të rritur ndërgjegjësimin mbi çështjen e ngritur. Në Mbretërinë e Bashkuar, për shembull, një peticion me mbi 100,000 nënshkrime mund të debatohet në Parlament, gjë që e bën procesin më transparent dhe të ndjeshëm ndaj presionit publik. Duke analizuar modelet e peticioneve të përdorura në Gjermani, Mbretërinë e Bashkuar, dhe </w:t>
      </w:r>
      <w:r w:rsidRPr="00B0548A">
        <w:rPr>
          <w:rFonts w:ascii="Aptos" w:hAnsi="Aptos"/>
        </w:rPr>
        <w:lastRenderedPageBreak/>
        <w:t>Bashkimin Evropian, mund të identifikohen disa elementë që funksionojnë mirë dhe disa mangësi që mund të përmirësohen për të rritur efektivitetin dhe ndikimin e peticioneve parlamentare.</w:t>
      </w:r>
    </w:p>
    <w:p w14:paraId="38141F87" w14:textId="77777777" w:rsidR="00E61D5B" w:rsidRPr="00B0548A" w:rsidRDefault="00E61D5B" w:rsidP="00E61D5B">
      <w:pPr>
        <w:pStyle w:val="ListParagraph"/>
        <w:numPr>
          <w:ilvl w:val="0"/>
          <w:numId w:val="57"/>
        </w:numPr>
        <w:overflowPunct/>
        <w:autoSpaceDE/>
        <w:autoSpaceDN/>
        <w:adjustRightInd/>
        <w:spacing w:before="100" w:beforeAutospacing="1" w:after="100" w:afterAutospacing="1"/>
        <w:textAlignment w:val="auto"/>
        <w:rPr>
          <w:rFonts w:ascii="Aptos" w:hAnsi="Aptos"/>
        </w:rPr>
      </w:pPr>
      <w:r w:rsidRPr="00B0548A">
        <w:rPr>
          <w:rFonts w:ascii="Aptos" w:hAnsi="Aptos"/>
        </w:rPr>
        <w:t>Një ndër sfidat kryesore në hartimin e një peticioni efektiv është mungesa e qartësisë dhe strukturës në përmbajtje. Në shumë raste, peticionet janë të formuluara në një mënyrë të përgjithshme ose me një gjuhë të paqartë, çka i bën ato të vështira për t’u kuptuar dhe interpretuar nga autoritetet që i shqyrtojnë. Në modelin gjerman, për shembull, qartësia është një nga elementët kyç – çdo peticion duhet të përmbajë një përshkrim të saktë të çështjes, një propozim konkret dhe argumente të mbështetura në fakte.</w:t>
      </w:r>
    </w:p>
    <w:p w14:paraId="770A4AC4" w14:textId="77777777" w:rsidR="00E61D5B" w:rsidRPr="00B0548A" w:rsidRDefault="00E61D5B" w:rsidP="00E61D5B">
      <w:pPr>
        <w:pStyle w:val="ListParagraph"/>
        <w:numPr>
          <w:ilvl w:val="0"/>
          <w:numId w:val="57"/>
        </w:numPr>
        <w:overflowPunct/>
        <w:autoSpaceDE/>
        <w:autoSpaceDN/>
        <w:adjustRightInd/>
        <w:spacing w:before="100" w:beforeAutospacing="1" w:after="100" w:afterAutospacing="1"/>
        <w:textAlignment w:val="auto"/>
        <w:rPr>
          <w:rFonts w:ascii="Aptos" w:hAnsi="Aptos"/>
          <w:u w:val="single"/>
        </w:rPr>
      </w:pPr>
      <w:r w:rsidRPr="00B0548A">
        <w:rPr>
          <w:rFonts w:ascii="Aptos" w:hAnsi="Aptos"/>
          <w:u w:val="single"/>
        </w:rPr>
        <w:t>Për të përmirësuar këtë aspekt, është e rëndësishme që peticioni të jetë i ndarë në seksione të qarta si :</w:t>
      </w:r>
      <w:r w:rsidRPr="00B0548A">
        <w:rPr>
          <w:rFonts w:ascii="Aptos" w:hAnsi="Aptos"/>
          <w:bCs/>
          <w:u w:val="single"/>
        </w:rPr>
        <w:t>Problemi</w:t>
      </w:r>
      <w:r w:rsidRPr="00B0548A">
        <w:rPr>
          <w:rFonts w:ascii="Aptos" w:hAnsi="Aptos"/>
          <w:u w:val="single"/>
        </w:rPr>
        <w:t xml:space="preserve">, </w:t>
      </w:r>
      <w:r w:rsidRPr="00B0548A">
        <w:rPr>
          <w:rFonts w:ascii="Aptos" w:hAnsi="Aptos"/>
          <w:bCs/>
          <w:u w:val="single"/>
        </w:rPr>
        <w:t>Arsyetimi</w:t>
      </w:r>
      <w:r w:rsidRPr="00B0548A">
        <w:rPr>
          <w:rFonts w:ascii="Aptos" w:hAnsi="Aptos"/>
          <w:u w:val="single"/>
        </w:rPr>
        <w:t xml:space="preserve"> dhe </w:t>
      </w:r>
      <w:r w:rsidRPr="00B0548A">
        <w:rPr>
          <w:rFonts w:ascii="Aptos" w:hAnsi="Aptos"/>
          <w:bCs/>
          <w:u w:val="single"/>
        </w:rPr>
        <w:t>Veprimi i Kërkuar</w:t>
      </w:r>
      <w:r w:rsidRPr="00B0548A">
        <w:rPr>
          <w:rFonts w:ascii="Aptos" w:hAnsi="Aptos"/>
          <w:u w:val="single"/>
        </w:rPr>
        <w:t xml:space="preserve">. </w:t>
      </w:r>
    </w:p>
    <w:p w14:paraId="60E34167" w14:textId="77777777" w:rsidR="00E61D5B" w:rsidRPr="00B0548A" w:rsidRDefault="00E61D5B" w:rsidP="00E61D5B">
      <w:pPr>
        <w:pStyle w:val="ListParagraph"/>
        <w:numPr>
          <w:ilvl w:val="0"/>
          <w:numId w:val="57"/>
        </w:numPr>
        <w:overflowPunct/>
        <w:autoSpaceDE/>
        <w:autoSpaceDN/>
        <w:adjustRightInd/>
        <w:spacing w:before="100" w:beforeAutospacing="1" w:after="100" w:afterAutospacing="1"/>
        <w:textAlignment w:val="auto"/>
        <w:rPr>
          <w:rFonts w:ascii="Aptos" w:hAnsi="Aptos"/>
          <w:u w:val="single"/>
        </w:rPr>
      </w:pPr>
      <w:r w:rsidRPr="00B0548A">
        <w:rPr>
          <w:rFonts w:ascii="Aptos" w:hAnsi="Aptos"/>
        </w:rPr>
        <w:t xml:space="preserve">Një tjetër mangësi që haset shpesh në modelet e ndryshme të peticioneve është mungesa e specifikave në kërkesë. Në disa raste, peticionet janë formuluar në mënyrë të përgjithshme, pa specifikuar masat konkrete që kërkohen nga autoritetet. Modeli i përdorur në Mbretërinë e Bashkuar dhe në Bashkimin Evropian ofron një qasje më të saktë në këtë drejtim, duke inkurajuar qytetarët të formulojnë kërkesa të qarta dhe të matshme. Në Mbretërinë e Bashkuar, për shembull, </w:t>
      </w:r>
      <w:r w:rsidRPr="00B0548A">
        <w:rPr>
          <w:rFonts w:ascii="Aptos" w:hAnsi="Aptos"/>
          <w:u w:val="single"/>
        </w:rPr>
        <w:t>çdo peticion duhet të përmbajë një kërkesë specifike dhe të përcaktojë qartë se çfarë pritet nga qeveria ose parlamenti.</w:t>
      </w:r>
    </w:p>
    <w:p w14:paraId="09510488" w14:textId="77777777" w:rsidR="00E61D5B" w:rsidRPr="00B0548A" w:rsidRDefault="00E61D5B" w:rsidP="00E61D5B">
      <w:pPr>
        <w:pStyle w:val="ListParagraph"/>
        <w:numPr>
          <w:ilvl w:val="0"/>
          <w:numId w:val="57"/>
        </w:numPr>
        <w:overflowPunct/>
        <w:autoSpaceDE/>
        <w:autoSpaceDN/>
        <w:adjustRightInd/>
        <w:spacing w:before="100" w:beforeAutospacing="1" w:after="100" w:afterAutospacing="1"/>
        <w:textAlignment w:val="auto"/>
        <w:rPr>
          <w:rFonts w:ascii="Aptos" w:hAnsi="Aptos"/>
          <w:u w:val="single"/>
        </w:rPr>
      </w:pPr>
      <w:r w:rsidRPr="00B0548A">
        <w:rPr>
          <w:rFonts w:ascii="Aptos" w:hAnsi="Aptos"/>
        </w:rPr>
        <w:t xml:space="preserve">Një nga problemet kryesore në Shqipëri është mungesa e transparencës dhe llogaridhënies pas dorëzimit të peticionit. Në modelet më të avancuara, si ai i BE-së dhe ai Britanik, </w:t>
      </w:r>
      <w:r w:rsidRPr="00B0548A">
        <w:rPr>
          <w:rFonts w:ascii="Aptos" w:hAnsi="Aptos"/>
          <w:u w:val="single"/>
        </w:rPr>
        <w:t>ekzistojnë afate kohore të përcaktuara për përgjigjen e autoriteteve dhe për zbatimin e kërkesës.</w:t>
      </w:r>
    </w:p>
    <w:p w14:paraId="04278F68" w14:textId="77777777" w:rsidR="00E61D5B" w:rsidRPr="00B0548A" w:rsidRDefault="00E61D5B" w:rsidP="00E61D5B">
      <w:pPr>
        <w:pStyle w:val="ListParagraph"/>
        <w:numPr>
          <w:ilvl w:val="0"/>
          <w:numId w:val="57"/>
        </w:numPr>
        <w:overflowPunct/>
        <w:autoSpaceDE/>
        <w:autoSpaceDN/>
        <w:adjustRightInd/>
        <w:spacing w:before="100" w:beforeAutospacing="1" w:after="100" w:afterAutospacing="1"/>
        <w:textAlignment w:val="auto"/>
        <w:rPr>
          <w:rFonts w:ascii="Aptos" w:hAnsi="Aptos"/>
          <w:u w:val="single"/>
        </w:rPr>
      </w:pPr>
      <w:r w:rsidRPr="00B0548A">
        <w:rPr>
          <w:rFonts w:ascii="Aptos" w:hAnsi="Aptos"/>
        </w:rPr>
        <w:t xml:space="preserve">Për të përmirësuar këtë aspekt, peticioni duhet të përmbajë një kërkesë specifike që autoritetet të përgjigjen brenda një afati të caktuar. Gjithashtu, </w:t>
      </w:r>
      <w:r w:rsidRPr="00B0548A">
        <w:rPr>
          <w:rFonts w:ascii="Aptos" w:hAnsi="Aptos"/>
          <w:u w:val="single"/>
        </w:rPr>
        <w:t>duhet të ketë një mekanizëm për raportimin e progresit dhe për mbikëqyrjen e zbatimit të vendimit nga komisioni parlamentar.</w:t>
      </w:r>
    </w:p>
    <w:p w14:paraId="7CB52C85" w14:textId="77777777" w:rsidR="00E61D5B" w:rsidRPr="00B0548A" w:rsidRDefault="00E61D5B" w:rsidP="00E61D5B">
      <w:pPr>
        <w:spacing w:before="100" w:beforeAutospacing="1" w:after="100" w:afterAutospacing="1"/>
        <w:rPr>
          <w:rFonts w:ascii="Aptos" w:hAnsi="Aptos"/>
        </w:rPr>
      </w:pPr>
      <w:r w:rsidRPr="00B0548A">
        <w:rPr>
          <w:rFonts w:ascii="Aptos" w:hAnsi="Aptos"/>
        </w:rPr>
        <w:t xml:space="preserve">Për të krijuar një peticion efektiv, duhet të kombinohen elementët më të mirë nga modelet ekzistuese: </w:t>
      </w:r>
      <w:r w:rsidRPr="00B0548A">
        <w:rPr>
          <w:rFonts w:ascii="Aptos" w:hAnsi="Aptos"/>
          <w:bCs/>
        </w:rPr>
        <w:t>qartësia</w:t>
      </w:r>
      <w:r w:rsidRPr="00B0548A">
        <w:rPr>
          <w:rFonts w:ascii="Aptos" w:hAnsi="Aptos"/>
        </w:rPr>
        <w:t xml:space="preserve"> dhe </w:t>
      </w:r>
      <w:r w:rsidRPr="00B0548A">
        <w:rPr>
          <w:rFonts w:ascii="Aptos" w:hAnsi="Aptos"/>
          <w:bCs/>
        </w:rPr>
        <w:t>strukturimi i mirë</w:t>
      </w:r>
      <w:r w:rsidRPr="00B0548A">
        <w:rPr>
          <w:rFonts w:ascii="Aptos" w:hAnsi="Aptos"/>
        </w:rPr>
        <w:t xml:space="preserve"> nga modeli gjerman, </w:t>
      </w:r>
      <w:r w:rsidRPr="00B0548A">
        <w:rPr>
          <w:rFonts w:ascii="Aptos" w:hAnsi="Aptos"/>
          <w:bCs/>
        </w:rPr>
        <w:t>angazhimi publik</w:t>
      </w:r>
      <w:r w:rsidRPr="00B0548A">
        <w:rPr>
          <w:rFonts w:ascii="Aptos" w:hAnsi="Aptos"/>
        </w:rPr>
        <w:t xml:space="preserve"> nga Mbretëria e Bashkuar dhe </w:t>
      </w:r>
      <w:r w:rsidRPr="00B0548A">
        <w:rPr>
          <w:rFonts w:ascii="Aptos" w:hAnsi="Aptos"/>
          <w:bCs/>
        </w:rPr>
        <w:t>mbështetja ligjore dhe politike</w:t>
      </w:r>
      <w:r w:rsidRPr="00B0548A">
        <w:rPr>
          <w:rFonts w:ascii="Aptos" w:hAnsi="Aptos"/>
        </w:rPr>
        <w:t xml:space="preserve"> nga modeli i BE-së. Një peticion i përgatitur me këto parime ka më shumë gjasa të arrijë ndikim konkret dhe të çojë në ndryshime reale.</w:t>
      </w:r>
    </w:p>
    <w:p w14:paraId="4D79DCCE" w14:textId="77777777" w:rsidR="00E61D5B" w:rsidRPr="00B0548A" w:rsidRDefault="00E61D5B" w:rsidP="00E61D5B">
      <w:pPr>
        <w:pStyle w:val="NormalWeb"/>
        <w:spacing w:line="276" w:lineRule="auto"/>
        <w:rPr>
          <w:rFonts w:ascii="Aptos" w:hAnsi="Aptos"/>
          <w:color w:val="4472C4" w:themeColor="accent1"/>
          <w:lang w:val="sq-AL"/>
        </w:rPr>
      </w:pPr>
      <w:r w:rsidRPr="00B0548A">
        <w:rPr>
          <w:rFonts w:ascii="Aptos" w:hAnsi="Aptos"/>
          <w:color w:val="4472C4" w:themeColor="accent1"/>
          <w:lang w:val="sq-AL"/>
        </w:rPr>
        <w:t>VI. Konkluzione përmbyllëse</w:t>
      </w:r>
    </w:p>
    <w:p w14:paraId="5718B9A7" w14:textId="77777777" w:rsidR="00E61D5B" w:rsidRPr="00B0548A" w:rsidRDefault="00E61D5B" w:rsidP="00E61D5B">
      <w:pPr>
        <w:spacing w:before="100" w:beforeAutospacing="1" w:after="100" w:afterAutospacing="1" w:line="276" w:lineRule="auto"/>
        <w:rPr>
          <w:rFonts w:ascii="Aptos" w:hAnsi="Aptos"/>
        </w:rPr>
      </w:pPr>
      <w:r w:rsidRPr="00B0548A">
        <w:rPr>
          <w:rFonts w:ascii="Aptos" w:hAnsi="Aptos"/>
        </w:rPr>
        <w:t>Për sa më lart, duke konsideruar se e drejta për peticione qytetare është një e drejtë themelore kushtetuese, sipas frymës së nenit 48 të Kushtetutës, do të duhet që ajo të jetë efektive dhe reale, dhe jo “</w:t>
      </w:r>
      <w:proofErr w:type="spellStart"/>
      <w:r w:rsidRPr="00B0548A">
        <w:rPr>
          <w:rFonts w:ascii="Aptos" w:hAnsi="Aptos"/>
        </w:rPr>
        <w:t>iluzive</w:t>
      </w:r>
      <w:proofErr w:type="spellEnd"/>
      <w:r w:rsidRPr="00B0548A">
        <w:rPr>
          <w:rFonts w:ascii="Aptos" w:hAnsi="Aptos"/>
        </w:rPr>
        <w:t xml:space="preserve">” dhe teorike. Për rrjedhojë, vlerësohet se rregullimi aktual mbi peticionet drejtuar Kuvendit, i bazuar në nenin 104 të Rregullores së Kuvendit, paraqet një kornizë ligjore të hapur dhe </w:t>
      </w:r>
      <w:proofErr w:type="spellStart"/>
      <w:r w:rsidRPr="00B0548A">
        <w:rPr>
          <w:rFonts w:ascii="Aptos" w:hAnsi="Aptos"/>
        </w:rPr>
        <w:t>fleksibile</w:t>
      </w:r>
      <w:proofErr w:type="spellEnd"/>
      <w:r w:rsidRPr="00B0548A">
        <w:rPr>
          <w:rFonts w:ascii="Aptos" w:hAnsi="Aptos"/>
        </w:rPr>
        <w:t>. Megjithatë, ai njëkohësisht përmban boshllëqe procedurale që mund të ndikojnë në efektivitetin dhe llogaridhënien e procesit. Përmirësimi i këtij rregullimi do të kërkonte përcaktimin e mekanizmave të qarta për shqyrtimin, trajtimin dhe vendimmarrjen mbi peticionet, duke garantuar një proces më transparent, gjithëpërfshirës dhe të drejtë për qytetarët që i drejtohen Kuvendit me kërkesa dhe propozime të ndryshme.</w:t>
      </w:r>
    </w:p>
    <w:p w14:paraId="6A972E4E" w14:textId="77777777" w:rsidR="00E61D5B" w:rsidRPr="00B0548A" w:rsidRDefault="00E61D5B" w:rsidP="00E61D5B">
      <w:pPr>
        <w:pStyle w:val="NormalWeb"/>
        <w:spacing w:line="276" w:lineRule="auto"/>
        <w:jc w:val="both"/>
        <w:rPr>
          <w:rFonts w:ascii="Aptos" w:hAnsi="Aptos"/>
          <w:lang w:val="sq-AL"/>
        </w:rPr>
      </w:pPr>
      <w:r w:rsidRPr="00B0548A">
        <w:rPr>
          <w:rFonts w:ascii="Aptos" w:hAnsi="Aptos"/>
          <w:lang w:val="sq-AL"/>
        </w:rPr>
        <w:lastRenderedPageBreak/>
        <w:t>Ndërhyrjet normative në disa nene të Rregullores synojnë të sjellin një kuadër më të qartë dhe efikas për trajtimin e peticioneve të qytetarëve, duke pasur si referencë edhe praktikat më të mira ndërkombëtare. Në veçanti, rishikimi i nenit 104 të Rregullores, do të duhet të ofrojë një proces më të strukturuar dhe transparent, ku peticionet vlerësohen dhe shqyrtohen në mënyrë sistematike nga një komision i përhershëm me kompetenca funksionale mbi peticionet. Kjo qasje vlerësohet se do të rrisë besueshmërinë dhe do të përmirësojë pjesëmarrjen publike në procesin legjislativ, duke e bërë Kuvendin më të hapur dhe të përgjegjshëm ndaj nevojave dhe shqetësimeve të qytetarëve.</w:t>
      </w:r>
    </w:p>
    <w:p w14:paraId="44D86317" w14:textId="77777777" w:rsidR="00E61D5B" w:rsidRPr="00B0548A" w:rsidRDefault="00E61D5B" w:rsidP="00E61D5B">
      <w:pPr>
        <w:spacing w:before="100" w:beforeAutospacing="1" w:after="100" w:afterAutospacing="1"/>
        <w:outlineLvl w:val="2"/>
        <w:rPr>
          <w:rFonts w:ascii="Aptos" w:hAnsi="Aptos"/>
          <w:b/>
        </w:rPr>
      </w:pPr>
      <w:r w:rsidRPr="00B0548A">
        <w:rPr>
          <w:rFonts w:ascii="Aptos" w:hAnsi="Aptos"/>
          <w:b/>
        </w:rPr>
        <w:t>Përmbledhje e ndryshimeve:</w:t>
      </w:r>
    </w:p>
    <w:p w14:paraId="3C5E53C1" w14:textId="667C53B5" w:rsidR="00E61D5B" w:rsidRPr="00B0548A" w:rsidRDefault="00E61D5B" w:rsidP="00E61D5B">
      <w:pPr>
        <w:pStyle w:val="ListParagraph"/>
        <w:numPr>
          <w:ilvl w:val="0"/>
          <w:numId w:val="58"/>
        </w:numPr>
        <w:jc w:val="left"/>
        <w:rPr>
          <w:rFonts w:ascii="Aptos" w:hAnsi="Aptos"/>
        </w:rPr>
      </w:pPr>
      <w:r w:rsidRPr="00B0548A">
        <w:rPr>
          <w:rFonts w:ascii="Aptos" w:hAnsi="Aptos"/>
        </w:rPr>
        <w:t>Krijimi i një Komisioni të specializuar për Peticionet (varianti 1)</w:t>
      </w:r>
    </w:p>
    <w:p w14:paraId="53E0A697" w14:textId="77777777" w:rsidR="00E61D5B" w:rsidRPr="00B0548A" w:rsidRDefault="00E61D5B" w:rsidP="00E61D5B">
      <w:pPr>
        <w:pStyle w:val="ListParagraph"/>
        <w:numPr>
          <w:ilvl w:val="0"/>
          <w:numId w:val="58"/>
        </w:numPr>
        <w:jc w:val="left"/>
        <w:rPr>
          <w:rFonts w:ascii="Aptos" w:hAnsi="Aptos"/>
        </w:rPr>
      </w:pPr>
      <w:r w:rsidRPr="00B0548A">
        <w:rPr>
          <w:rFonts w:ascii="Aptos" w:hAnsi="Aptos"/>
        </w:rPr>
        <w:t>Trajtimi/Shqyrtimi paraprak nga Konferenca e Kryetarëve</w:t>
      </w:r>
    </w:p>
    <w:p w14:paraId="5E6BCAA7" w14:textId="77777777" w:rsidR="00E61D5B" w:rsidRPr="00B0548A" w:rsidRDefault="00E61D5B" w:rsidP="00E61D5B">
      <w:pPr>
        <w:pStyle w:val="ListParagraph"/>
        <w:numPr>
          <w:ilvl w:val="0"/>
          <w:numId w:val="58"/>
        </w:numPr>
        <w:jc w:val="left"/>
        <w:rPr>
          <w:rFonts w:ascii="Aptos" w:hAnsi="Aptos"/>
        </w:rPr>
      </w:pPr>
      <w:r w:rsidRPr="00B0548A">
        <w:rPr>
          <w:rFonts w:ascii="Aptos" w:hAnsi="Aptos"/>
        </w:rPr>
        <w:t>Shtimi i mundësisë për dorëzim elektronik</w:t>
      </w:r>
    </w:p>
    <w:p w14:paraId="6C99B7DD" w14:textId="77777777" w:rsidR="00E61D5B" w:rsidRPr="00B0548A" w:rsidRDefault="00E61D5B" w:rsidP="00E61D5B">
      <w:pPr>
        <w:pStyle w:val="ListParagraph"/>
        <w:numPr>
          <w:ilvl w:val="0"/>
          <w:numId w:val="58"/>
        </w:numPr>
        <w:jc w:val="left"/>
        <w:rPr>
          <w:rFonts w:ascii="Aptos" w:hAnsi="Aptos"/>
        </w:rPr>
      </w:pPr>
      <w:r w:rsidRPr="00B0548A">
        <w:rPr>
          <w:rFonts w:ascii="Aptos" w:hAnsi="Aptos"/>
        </w:rPr>
        <w:t>Përcaktimi i afateve të qarta për shqyrtim dhe kthim përgjigje</w:t>
      </w:r>
    </w:p>
    <w:p w14:paraId="16B7B83D" w14:textId="77777777" w:rsidR="00E61D5B" w:rsidRPr="00B0548A" w:rsidRDefault="00E61D5B" w:rsidP="00E61D5B">
      <w:pPr>
        <w:pStyle w:val="ListParagraph"/>
        <w:numPr>
          <w:ilvl w:val="0"/>
          <w:numId w:val="58"/>
        </w:numPr>
        <w:jc w:val="left"/>
        <w:rPr>
          <w:rFonts w:ascii="Aptos" w:hAnsi="Aptos"/>
        </w:rPr>
      </w:pPr>
      <w:r w:rsidRPr="00B0548A">
        <w:rPr>
          <w:rFonts w:ascii="Aptos" w:hAnsi="Aptos"/>
        </w:rPr>
        <w:t>Sigurimi i të drejtës për dëgjim dhe përfaqësim në seancë plenare</w:t>
      </w:r>
    </w:p>
    <w:p w14:paraId="09BFEA42" w14:textId="1A82605E" w:rsidR="00E61D5B" w:rsidRPr="00B0548A" w:rsidRDefault="00E61D5B" w:rsidP="00E61D5B">
      <w:pPr>
        <w:pStyle w:val="ListParagraph"/>
        <w:numPr>
          <w:ilvl w:val="0"/>
          <w:numId w:val="58"/>
        </w:numPr>
        <w:jc w:val="left"/>
        <w:rPr>
          <w:rFonts w:ascii="Aptos" w:hAnsi="Aptos"/>
        </w:rPr>
      </w:pPr>
      <w:r w:rsidRPr="00B0548A">
        <w:rPr>
          <w:rFonts w:ascii="Aptos" w:hAnsi="Aptos"/>
        </w:rPr>
        <w:t>Detyrimi për diskutim në Kuvend për çështje me rëndësi të veçantë</w:t>
      </w:r>
      <w:r w:rsidRPr="00B0548A">
        <w:rPr>
          <w:rFonts w:ascii="Aptos" w:hAnsi="Aptos"/>
        </w:rPr>
        <w:br/>
      </w:r>
    </w:p>
    <w:p w14:paraId="228AA2F8" w14:textId="77777777" w:rsidR="00E61D5B" w:rsidRPr="00B0548A" w:rsidRDefault="00E61D5B" w:rsidP="00E61D5B">
      <w:pPr>
        <w:shd w:val="clear" w:color="auto" w:fill="FFFFFF"/>
        <w:rPr>
          <w:rFonts w:ascii="Aptos" w:eastAsiaTheme="minorHAnsi" w:hAnsi="Aptos" w:cs="Arial"/>
          <w:color w:val="222222"/>
        </w:rPr>
      </w:pPr>
      <w:r w:rsidRPr="00B0548A">
        <w:rPr>
          <w:rFonts w:ascii="Aptos" w:eastAsiaTheme="minorHAnsi" w:hAnsi="Aptos"/>
          <w:color w:val="222222"/>
        </w:rPr>
        <w:t>Gjithashtu, në funksion të forcimit të mekanizmit të peticioneve dhe për të siguruar një zbatim të qartë dhe të unifikuar të procesit të trajtimit të tyre, propozohet që:</w:t>
      </w:r>
    </w:p>
    <w:p w14:paraId="3B9AD864" w14:textId="7246842D" w:rsidR="00E61D5B" w:rsidRPr="00B0548A" w:rsidRDefault="00E61D5B" w:rsidP="00E61D5B">
      <w:pPr>
        <w:shd w:val="clear" w:color="auto" w:fill="FFFFFF"/>
        <w:rPr>
          <w:rFonts w:ascii="Aptos" w:eastAsiaTheme="minorHAnsi" w:hAnsi="Aptos" w:cs="Arial"/>
          <w:color w:val="222222"/>
        </w:rPr>
      </w:pPr>
      <w:r w:rsidRPr="00B0548A">
        <w:rPr>
          <w:rFonts w:ascii="Aptos" w:eastAsiaTheme="minorHAnsi" w:hAnsi="Aptos"/>
          <w:b/>
          <w:bCs/>
          <w:color w:val="222222"/>
        </w:rPr>
        <w:t>Kuvendi të miratojë udhëzimin e zbatimit të mekanizmit të peticioneve</w:t>
      </w:r>
      <w:r w:rsidRPr="00B0548A">
        <w:rPr>
          <w:rFonts w:ascii="Aptos" w:eastAsiaTheme="minorHAnsi" w:hAnsi="Aptos"/>
          <w:color w:val="222222"/>
        </w:rPr>
        <w:t> – Ky udhëzim do të përfshijë hapat e detajuar mbi mënyrën e administrimit, shqyrtimit dhe përgjigjes ndaj peticioneve nga ana e institucioneve përkatëse. Udhëzimi do të përcaktojë gjithashtu:</w:t>
      </w:r>
    </w:p>
    <w:p w14:paraId="3E6C3511" w14:textId="77777777" w:rsidR="00E61D5B" w:rsidRPr="00B0548A" w:rsidRDefault="00E61D5B" w:rsidP="00E61D5B">
      <w:pPr>
        <w:shd w:val="clear" w:color="auto" w:fill="FFFFFF"/>
        <w:ind w:left="360"/>
        <w:rPr>
          <w:rFonts w:ascii="Aptos" w:eastAsiaTheme="minorHAnsi" w:hAnsi="Aptos" w:cs="Arial"/>
          <w:color w:val="222222"/>
        </w:rPr>
      </w:pPr>
      <w:r w:rsidRPr="00B0548A">
        <w:rPr>
          <w:rFonts w:ascii="Aptos" w:eastAsiaTheme="minorHAnsi" w:hAnsi="Aptos" w:cs="Arial"/>
          <w:color w:val="222222"/>
          <w:sz w:val="20"/>
          <w:szCs w:val="20"/>
        </w:rPr>
        <w:t></w:t>
      </w:r>
      <w:r w:rsidRPr="00B0548A">
        <w:rPr>
          <w:rFonts w:ascii="Aptos" w:eastAsiaTheme="minorHAnsi" w:hAnsi="Aptos"/>
          <w:color w:val="222222"/>
          <w:sz w:val="14"/>
          <w:szCs w:val="14"/>
        </w:rPr>
        <w:t>    </w:t>
      </w:r>
      <w:r w:rsidRPr="00B0548A">
        <w:rPr>
          <w:rFonts w:ascii="Aptos" w:eastAsiaTheme="minorHAnsi" w:hAnsi="Aptos"/>
          <w:color w:val="222222"/>
        </w:rPr>
        <w:t>Afatet kohore për shqyrtimin e peticioneve.</w:t>
      </w:r>
    </w:p>
    <w:p w14:paraId="583CA49E" w14:textId="77777777" w:rsidR="00E61D5B" w:rsidRPr="00B0548A" w:rsidRDefault="00E61D5B" w:rsidP="00E61D5B">
      <w:pPr>
        <w:shd w:val="clear" w:color="auto" w:fill="FFFFFF"/>
        <w:ind w:left="360"/>
        <w:rPr>
          <w:rFonts w:ascii="Aptos" w:eastAsiaTheme="minorHAnsi" w:hAnsi="Aptos" w:cs="Arial"/>
          <w:color w:val="222222"/>
        </w:rPr>
      </w:pPr>
      <w:r w:rsidRPr="00B0548A">
        <w:rPr>
          <w:rFonts w:ascii="Aptos" w:eastAsiaTheme="minorHAnsi" w:hAnsi="Aptos" w:cs="Arial"/>
          <w:color w:val="222222"/>
          <w:sz w:val="20"/>
          <w:szCs w:val="20"/>
        </w:rPr>
        <w:t></w:t>
      </w:r>
      <w:r w:rsidRPr="00B0548A">
        <w:rPr>
          <w:rFonts w:ascii="Aptos" w:eastAsiaTheme="minorHAnsi" w:hAnsi="Aptos"/>
          <w:color w:val="222222"/>
          <w:sz w:val="14"/>
          <w:szCs w:val="14"/>
        </w:rPr>
        <w:t>    </w:t>
      </w:r>
      <w:r w:rsidRPr="00B0548A">
        <w:rPr>
          <w:rFonts w:ascii="Aptos" w:eastAsiaTheme="minorHAnsi" w:hAnsi="Aptos"/>
          <w:color w:val="222222"/>
        </w:rPr>
        <w:t>Përgjegjësitë e komisioneve përkatëse parlamentare në trajtimin e peticioneve.</w:t>
      </w:r>
    </w:p>
    <w:p w14:paraId="29841A44" w14:textId="77777777" w:rsidR="00E61D5B" w:rsidRPr="00B0548A" w:rsidRDefault="00E61D5B" w:rsidP="00E61D5B">
      <w:pPr>
        <w:shd w:val="clear" w:color="auto" w:fill="FFFFFF"/>
        <w:ind w:left="360"/>
        <w:rPr>
          <w:rFonts w:ascii="Aptos" w:eastAsiaTheme="minorHAnsi" w:hAnsi="Aptos" w:cs="Arial"/>
          <w:color w:val="222222"/>
        </w:rPr>
      </w:pPr>
      <w:r w:rsidRPr="00B0548A">
        <w:rPr>
          <w:rFonts w:ascii="Aptos" w:eastAsiaTheme="minorHAnsi" w:hAnsi="Aptos" w:cs="Arial"/>
          <w:color w:val="222222"/>
          <w:sz w:val="20"/>
          <w:szCs w:val="20"/>
        </w:rPr>
        <w:t></w:t>
      </w:r>
      <w:r w:rsidRPr="00B0548A">
        <w:rPr>
          <w:rFonts w:ascii="Aptos" w:eastAsiaTheme="minorHAnsi" w:hAnsi="Aptos"/>
          <w:color w:val="222222"/>
          <w:sz w:val="14"/>
          <w:szCs w:val="14"/>
        </w:rPr>
        <w:t>    </w:t>
      </w:r>
      <w:r w:rsidRPr="00B0548A">
        <w:rPr>
          <w:rFonts w:ascii="Aptos" w:eastAsiaTheme="minorHAnsi" w:hAnsi="Aptos"/>
          <w:color w:val="222222"/>
        </w:rPr>
        <w:t>Detyrimin për të dhënë përgjigje të motivuar brenda një afati të caktuar.</w:t>
      </w:r>
    </w:p>
    <w:p w14:paraId="4BF06683" w14:textId="77777777" w:rsidR="00E61D5B" w:rsidRPr="00B0548A" w:rsidRDefault="00E61D5B" w:rsidP="00E61D5B">
      <w:pPr>
        <w:shd w:val="clear" w:color="auto" w:fill="FFFFFF"/>
        <w:ind w:left="360"/>
        <w:rPr>
          <w:rFonts w:ascii="Aptos" w:eastAsiaTheme="minorHAnsi" w:hAnsi="Aptos" w:cs="Arial"/>
          <w:color w:val="222222"/>
        </w:rPr>
      </w:pPr>
      <w:r w:rsidRPr="00B0548A">
        <w:rPr>
          <w:rFonts w:ascii="Aptos" w:eastAsiaTheme="minorHAnsi" w:hAnsi="Aptos" w:cs="Arial"/>
          <w:color w:val="222222"/>
          <w:sz w:val="20"/>
          <w:szCs w:val="20"/>
        </w:rPr>
        <w:t></w:t>
      </w:r>
      <w:r w:rsidRPr="00B0548A">
        <w:rPr>
          <w:rFonts w:ascii="Aptos" w:eastAsiaTheme="minorHAnsi" w:hAnsi="Aptos"/>
          <w:color w:val="222222"/>
          <w:sz w:val="14"/>
          <w:szCs w:val="14"/>
        </w:rPr>
        <w:t>    </w:t>
      </w:r>
      <w:r w:rsidRPr="00B0548A">
        <w:rPr>
          <w:rFonts w:ascii="Aptos" w:eastAsiaTheme="minorHAnsi" w:hAnsi="Aptos"/>
          <w:color w:val="222222"/>
        </w:rPr>
        <w:t xml:space="preserve">Procedurat për zhvillimin e </w:t>
      </w:r>
      <w:proofErr w:type="spellStart"/>
      <w:r w:rsidRPr="00B0548A">
        <w:rPr>
          <w:rFonts w:ascii="Aptos" w:eastAsiaTheme="minorHAnsi" w:hAnsi="Aptos"/>
          <w:color w:val="222222"/>
        </w:rPr>
        <w:t>dëgjesave</w:t>
      </w:r>
      <w:proofErr w:type="spellEnd"/>
      <w:r w:rsidRPr="00B0548A">
        <w:rPr>
          <w:rFonts w:ascii="Aptos" w:eastAsiaTheme="minorHAnsi" w:hAnsi="Aptos"/>
          <w:color w:val="222222"/>
        </w:rPr>
        <w:t xml:space="preserve"> publike në rast se peticioni mbështetet nga një numër i konsiderueshëm qytetarësh.</w:t>
      </w:r>
    </w:p>
    <w:p w14:paraId="7F705927" w14:textId="2209375B" w:rsidR="00E61D5B" w:rsidRPr="00B0548A" w:rsidRDefault="00E61D5B" w:rsidP="00E61D5B">
      <w:pPr>
        <w:shd w:val="clear" w:color="auto" w:fill="FFFFFF"/>
        <w:rPr>
          <w:rFonts w:ascii="Aptos" w:eastAsiaTheme="minorHAnsi" w:hAnsi="Aptos" w:cs="Arial"/>
          <w:color w:val="222222"/>
        </w:rPr>
      </w:pPr>
      <w:r w:rsidRPr="00B0548A">
        <w:rPr>
          <w:rFonts w:ascii="Aptos" w:eastAsiaTheme="minorHAnsi" w:hAnsi="Aptos"/>
          <w:color w:val="222222"/>
        </w:rPr>
        <w:t> </w:t>
      </w:r>
      <w:r w:rsidRPr="00B0548A">
        <w:rPr>
          <w:rFonts w:ascii="Aptos" w:eastAsiaTheme="minorHAnsi" w:hAnsi="Aptos"/>
          <w:b/>
          <w:bCs/>
          <w:color w:val="222222"/>
        </w:rPr>
        <w:t>Miratimi i formularit përkatës për peticionet</w:t>
      </w:r>
      <w:r w:rsidRPr="00B0548A">
        <w:rPr>
          <w:rFonts w:ascii="Aptos" w:eastAsiaTheme="minorHAnsi" w:hAnsi="Aptos"/>
          <w:color w:val="222222"/>
        </w:rPr>
        <w:t> – Për të siguruar një strukturë uniforme dhe për të shmangur konfuzionin, propozohet që Kuvendi të miratojë një </w:t>
      </w:r>
      <w:r w:rsidRPr="00B0548A">
        <w:rPr>
          <w:rFonts w:ascii="Aptos" w:eastAsiaTheme="minorHAnsi" w:hAnsi="Aptos"/>
          <w:b/>
          <w:bCs/>
          <w:color w:val="222222"/>
        </w:rPr>
        <w:t>formular standard për peticionet.</w:t>
      </w:r>
    </w:p>
    <w:p w14:paraId="141926B4" w14:textId="77777777" w:rsidR="00E61D5B" w:rsidRPr="00B0548A" w:rsidRDefault="00E61D5B" w:rsidP="00E61D5B">
      <w:pPr>
        <w:pStyle w:val="NormalWeb"/>
        <w:spacing w:line="276" w:lineRule="auto"/>
        <w:rPr>
          <w:rFonts w:ascii="Aptos" w:hAnsi="Aptos"/>
          <w:color w:val="4472C4" w:themeColor="accent1"/>
          <w:lang w:val="sq-AL"/>
        </w:rPr>
      </w:pPr>
      <w:r w:rsidRPr="00B0548A">
        <w:rPr>
          <w:rFonts w:ascii="Aptos" w:hAnsi="Aptos"/>
          <w:color w:val="4472C4" w:themeColor="accent1"/>
          <w:lang w:val="sq-AL"/>
        </w:rPr>
        <w:t>Referencat:</w:t>
      </w:r>
    </w:p>
    <w:p w14:paraId="23EE92D8" w14:textId="77777777" w:rsidR="00E61D5B" w:rsidRPr="00B0548A" w:rsidRDefault="00E61D5B" w:rsidP="00E61D5B">
      <w:pPr>
        <w:numPr>
          <w:ilvl w:val="0"/>
          <w:numId w:val="42"/>
        </w:numPr>
        <w:overflowPunct/>
        <w:autoSpaceDE/>
        <w:autoSpaceDN/>
        <w:adjustRightInd/>
        <w:spacing w:before="100" w:beforeAutospacing="1" w:after="100" w:afterAutospacing="1" w:line="276" w:lineRule="auto"/>
        <w:jc w:val="left"/>
        <w:textAlignment w:val="auto"/>
        <w:rPr>
          <w:rStyle w:val="Strong"/>
          <w:rFonts w:ascii="Aptos" w:eastAsiaTheme="majorEastAsia" w:hAnsi="Aptos"/>
          <w:b w:val="0"/>
          <w:bCs w:val="0"/>
        </w:rPr>
      </w:pPr>
      <w:r w:rsidRPr="00B0548A">
        <w:rPr>
          <w:rStyle w:val="Strong"/>
          <w:rFonts w:ascii="Aptos" w:eastAsiaTheme="majorEastAsia" w:hAnsi="Aptos"/>
        </w:rPr>
        <w:t xml:space="preserve">Rregullorja e Kuvendit, </w:t>
      </w:r>
      <w:hyperlink r:id="rId8" w:history="1">
        <w:r w:rsidRPr="00B0548A">
          <w:rPr>
            <w:rStyle w:val="Hyperlink"/>
            <w:rFonts w:ascii="Aptos" w:hAnsi="Aptos"/>
          </w:rPr>
          <w:t>https://kuvendiwebfiles.blob.core.windows.net/webfiles/RregullorjaeKuvenditeperditesuar.pdf</w:t>
        </w:r>
      </w:hyperlink>
      <w:r w:rsidRPr="00B0548A">
        <w:rPr>
          <w:rStyle w:val="Strong"/>
          <w:rFonts w:ascii="Aptos" w:eastAsiaTheme="majorEastAsia" w:hAnsi="Aptos"/>
        </w:rPr>
        <w:t xml:space="preserve">; </w:t>
      </w:r>
    </w:p>
    <w:p w14:paraId="12843EF0" w14:textId="77777777" w:rsidR="00E61D5B" w:rsidRPr="00B0548A" w:rsidRDefault="00E61D5B" w:rsidP="00E61D5B">
      <w:pPr>
        <w:numPr>
          <w:ilvl w:val="0"/>
          <w:numId w:val="42"/>
        </w:numPr>
        <w:overflowPunct/>
        <w:autoSpaceDE/>
        <w:autoSpaceDN/>
        <w:adjustRightInd/>
        <w:spacing w:before="100" w:beforeAutospacing="1" w:after="100" w:afterAutospacing="1" w:line="276" w:lineRule="auto"/>
        <w:textAlignment w:val="auto"/>
        <w:rPr>
          <w:rFonts w:ascii="Aptos" w:hAnsi="Aptos"/>
        </w:rPr>
      </w:pPr>
      <w:proofErr w:type="spellStart"/>
      <w:r w:rsidRPr="00B0548A">
        <w:rPr>
          <w:rStyle w:val="Strong"/>
          <w:rFonts w:ascii="Aptos" w:eastAsiaTheme="majorEastAsia" w:hAnsi="Aptos"/>
        </w:rPr>
        <w:t>Grundgesetz</w:t>
      </w:r>
      <w:proofErr w:type="spellEnd"/>
      <w:r w:rsidRPr="00B0548A">
        <w:rPr>
          <w:rStyle w:val="Strong"/>
          <w:rFonts w:ascii="Aptos" w:eastAsiaTheme="majorEastAsia" w:hAnsi="Aptos"/>
        </w:rPr>
        <w:t xml:space="preserve"> </w:t>
      </w:r>
      <w:proofErr w:type="spellStart"/>
      <w:r w:rsidRPr="00B0548A">
        <w:rPr>
          <w:rStyle w:val="Strong"/>
          <w:rFonts w:ascii="Aptos" w:eastAsiaTheme="majorEastAsia" w:hAnsi="Aptos"/>
        </w:rPr>
        <w:t>für</w:t>
      </w:r>
      <w:proofErr w:type="spellEnd"/>
      <w:r w:rsidRPr="00B0548A">
        <w:rPr>
          <w:rStyle w:val="Strong"/>
          <w:rFonts w:ascii="Aptos" w:eastAsiaTheme="majorEastAsia" w:hAnsi="Aptos"/>
        </w:rPr>
        <w:t xml:space="preserve"> </w:t>
      </w:r>
      <w:proofErr w:type="spellStart"/>
      <w:r w:rsidRPr="00B0548A">
        <w:rPr>
          <w:rStyle w:val="Strong"/>
          <w:rFonts w:ascii="Aptos" w:eastAsiaTheme="majorEastAsia" w:hAnsi="Aptos"/>
        </w:rPr>
        <w:t>die</w:t>
      </w:r>
      <w:proofErr w:type="spellEnd"/>
      <w:r w:rsidRPr="00B0548A">
        <w:rPr>
          <w:rStyle w:val="Strong"/>
          <w:rFonts w:ascii="Aptos" w:eastAsiaTheme="majorEastAsia" w:hAnsi="Aptos"/>
        </w:rPr>
        <w:t xml:space="preserve"> </w:t>
      </w:r>
      <w:proofErr w:type="spellStart"/>
      <w:r w:rsidRPr="00B0548A">
        <w:rPr>
          <w:rStyle w:val="Strong"/>
          <w:rFonts w:ascii="Aptos" w:eastAsiaTheme="majorEastAsia" w:hAnsi="Aptos"/>
        </w:rPr>
        <w:t>Bundesrepublik</w:t>
      </w:r>
      <w:proofErr w:type="spellEnd"/>
      <w:r w:rsidRPr="00B0548A">
        <w:rPr>
          <w:rStyle w:val="Strong"/>
          <w:rFonts w:ascii="Aptos" w:eastAsiaTheme="majorEastAsia" w:hAnsi="Aptos"/>
        </w:rPr>
        <w:t xml:space="preserve"> </w:t>
      </w:r>
      <w:proofErr w:type="spellStart"/>
      <w:r w:rsidRPr="00B0548A">
        <w:rPr>
          <w:rStyle w:val="Strong"/>
          <w:rFonts w:ascii="Aptos" w:eastAsiaTheme="majorEastAsia" w:hAnsi="Aptos"/>
        </w:rPr>
        <w:t>Deutschland</w:t>
      </w:r>
      <w:proofErr w:type="spellEnd"/>
      <w:r w:rsidRPr="00B0548A">
        <w:rPr>
          <w:rStyle w:val="Strong"/>
          <w:rFonts w:ascii="Aptos" w:eastAsiaTheme="majorEastAsia" w:hAnsi="Aptos"/>
        </w:rPr>
        <w:t xml:space="preserve"> (Neni 17)</w:t>
      </w:r>
    </w:p>
    <w:p w14:paraId="766F4830" w14:textId="77777777" w:rsidR="00E61D5B" w:rsidRPr="00B0548A" w:rsidRDefault="00E61D5B" w:rsidP="00E61D5B">
      <w:pPr>
        <w:numPr>
          <w:ilvl w:val="0"/>
          <w:numId w:val="42"/>
        </w:numPr>
        <w:overflowPunct/>
        <w:autoSpaceDE/>
        <w:autoSpaceDN/>
        <w:adjustRightInd/>
        <w:spacing w:before="100" w:beforeAutospacing="1" w:after="100" w:afterAutospacing="1" w:line="276" w:lineRule="auto"/>
        <w:textAlignment w:val="auto"/>
        <w:rPr>
          <w:rFonts w:ascii="Aptos" w:hAnsi="Aptos"/>
        </w:rPr>
      </w:pPr>
      <w:r w:rsidRPr="00B0548A">
        <w:rPr>
          <w:rStyle w:val="Strong"/>
          <w:rFonts w:ascii="Aptos" w:eastAsiaTheme="majorEastAsia" w:hAnsi="Aptos"/>
        </w:rPr>
        <w:t xml:space="preserve">Bundestag.de – </w:t>
      </w:r>
      <w:proofErr w:type="spellStart"/>
      <w:r w:rsidRPr="00B0548A">
        <w:rPr>
          <w:rStyle w:val="Strong"/>
          <w:rFonts w:ascii="Aptos" w:eastAsiaTheme="majorEastAsia" w:hAnsi="Aptos"/>
        </w:rPr>
        <w:t>Petitionsausschuss</w:t>
      </w:r>
      <w:proofErr w:type="spellEnd"/>
      <w:r w:rsidRPr="00B0548A">
        <w:rPr>
          <w:rFonts w:ascii="Aptos" w:hAnsi="Aptos"/>
        </w:rPr>
        <w:t xml:space="preserve"> (portali zyrtar për peticione)</w:t>
      </w:r>
    </w:p>
    <w:p w14:paraId="263152D3" w14:textId="77777777" w:rsidR="00E61D5B" w:rsidRPr="00B0548A" w:rsidRDefault="00E61D5B" w:rsidP="00E61D5B">
      <w:pPr>
        <w:numPr>
          <w:ilvl w:val="0"/>
          <w:numId w:val="42"/>
        </w:numPr>
        <w:overflowPunct/>
        <w:autoSpaceDE/>
        <w:autoSpaceDN/>
        <w:adjustRightInd/>
        <w:spacing w:before="100" w:beforeAutospacing="1" w:after="100" w:afterAutospacing="1" w:line="276" w:lineRule="auto"/>
        <w:textAlignment w:val="auto"/>
        <w:rPr>
          <w:rStyle w:val="Strong"/>
          <w:rFonts w:ascii="Aptos" w:eastAsiaTheme="majorEastAsia" w:hAnsi="Aptos"/>
          <w:b w:val="0"/>
          <w:bCs w:val="0"/>
        </w:rPr>
      </w:pPr>
      <w:r w:rsidRPr="00B0548A">
        <w:rPr>
          <w:rStyle w:val="Strong"/>
          <w:rFonts w:ascii="Aptos" w:eastAsiaTheme="majorEastAsia" w:hAnsi="Aptos"/>
        </w:rPr>
        <w:lastRenderedPageBreak/>
        <w:t>Ligji mbi Procedurat e Peticioneve në Bundestag</w:t>
      </w:r>
    </w:p>
    <w:p w14:paraId="4D432605" w14:textId="77777777" w:rsidR="00E61D5B" w:rsidRPr="00B0548A" w:rsidRDefault="00E61D5B" w:rsidP="00E61D5B">
      <w:pPr>
        <w:numPr>
          <w:ilvl w:val="0"/>
          <w:numId w:val="42"/>
        </w:numPr>
        <w:overflowPunct/>
        <w:autoSpaceDE/>
        <w:autoSpaceDN/>
        <w:adjustRightInd/>
        <w:spacing w:before="100" w:beforeAutospacing="1" w:after="100" w:afterAutospacing="1" w:line="276" w:lineRule="auto"/>
        <w:textAlignment w:val="auto"/>
        <w:rPr>
          <w:rFonts w:ascii="Aptos" w:hAnsi="Aptos"/>
        </w:rPr>
      </w:pPr>
      <w:r w:rsidRPr="00B0548A">
        <w:rPr>
          <w:rFonts w:ascii="Aptos" w:hAnsi="Aptos"/>
        </w:rPr>
        <w:t>"Rregullorja e Brendshme e Bundestagut" (</w:t>
      </w:r>
      <w:proofErr w:type="spellStart"/>
      <w:r w:rsidRPr="00B0548A">
        <w:rPr>
          <w:rFonts w:ascii="Aptos" w:hAnsi="Aptos"/>
        </w:rPr>
        <w:t>Geschäftsordnung</w:t>
      </w:r>
      <w:proofErr w:type="spellEnd"/>
      <w:r w:rsidRPr="00B0548A">
        <w:rPr>
          <w:rFonts w:ascii="Aptos" w:hAnsi="Aptos"/>
        </w:rPr>
        <w:t xml:space="preserve"> </w:t>
      </w:r>
      <w:proofErr w:type="spellStart"/>
      <w:r w:rsidRPr="00B0548A">
        <w:rPr>
          <w:rFonts w:ascii="Aptos" w:hAnsi="Aptos"/>
        </w:rPr>
        <w:t>des</w:t>
      </w:r>
      <w:proofErr w:type="spellEnd"/>
      <w:r w:rsidRPr="00B0548A">
        <w:rPr>
          <w:rFonts w:ascii="Aptos" w:hAnsi="Aptos"/>
        </w:rPr>
        <w:t xml:space="preserve"> </w:t>
      </w:r>
      <w:proofErr w:type="spellStart"/>
      <w:r w:rsidRPr="00B0548A">
        <w:rPr>
          <w:rFonts w:ascii="Aptos" w:hAnsi="Aptos"/>
        </w:rPr>
        <w:t>Deutschen</w:t>
      </w:r>
      <w:proofErr w:type="spellEnd"/>
      <w:r w:rsidRPr="00B0548A">
        <w:rPr>
          <w:rFonts w:ascii="Aptos" w:hAnsi="Aptos"/>
        </w:rPr>
        <w:t xml:space="preserve"> </w:t>
      </w:r>
      <w:proofErr w:type="spellStart"/>
      <w:r w:rsidRPr="00B0548A">
        <w:rPr>
          <w:rFonts w:ascii="Aptos" w:hAnsi="Aptos"/>
        </w:rPr>
        <w:t>Bundestages</w:t>
      </w:r>
      <w:proofErr w:type="spellEnd"/>
      <w:r w:rsidRPr="00B0548A">
        <w:rPr>
          <w:rFonts w:ascii="Aptos" w:hAnsi="Aptos"/>
        </w:rPr>
        <w:t>) përmban dispozita specifike që detajojnë procesin e trajtimit të peticioneve. Rregullorja e Brendshme e Bundestagut, në seksionet përkatëse, përshkruan hapat që ndiqen për paraqitjen, shqyrtimin dhe trajtimin e peticioneve nga Komisioni i Peticioneve.</w:t>
      </w:r>
    </w:p>
    <w:p w14:paraId="24165E97" w14:textId="77777777" w:rsidR="00E61D5B" w:rsidRPr="00B0548A" w:rsidRDefault="00E61D5B" w:rsidP="00E61D5B">
      <w:pPr>
        <w:numPr>
          <w:ilvl w:val="0"/>
          <w:numId w:val="42"/>
        </w:numPr>
        <w:shd w:val="clear" w:color="auto" w:fill="FFFFFF"/>
        <w:overflowPunct/>
        <w:autoSpaceDE/>
        <w:autoSpaceDN/>
        <w:adjustRightInd/>
        <w:spacing w:after="0" w:line="276" w:lineRule="auto"/>
        <w:textAlignment w:val="auto"/>
        <w:rPr>
          <w:rFonts w:ascii="Aptos" w:hAnsi="Aptos" w:cs="Arial"/>
          <w:color w:val="191919"/>
        </w:rPr>
      </w:pPr>
      <w:hyperlink r:id="rId9" w:tgtFrame="_blank" w:tooltip="Rules of Procedure of the German Bundestag (E-Book), External link opens a new window" w:history="1">
        <w:proofErr w:type="spellStart"/>
        <w:r w:rsidRPr="00B0548A">
          <w:rPr>
            <w:rStyle w:val="Hyperlink"/>
            <w:rFonts w:ascii="Aptos" w:hAnsi="Aptos" w:cs="Arial"/>
            <w:color w:val="191919"/>
          </w:rPr>
          <w:t>Rules</w:t>
        </w:r>
        <w:proofErr w:type="spellEnd"/>
        <w:r w:rsidRPr="00B0548A">
          <w:rPr>
            <w:rStyle w:val="Hyperlink"/>
            <w:rFonts w:ascii="Aptos" w:hAnsi="Aptos" w:cs="Arial"/>
            <w:color w:val="191919"/>
          </w:rPr>
          <w:t xml:space="preserve"> of Procedure of the </w:t>
        </w:r>
        <w:proofErr w:type="spellStart"/>
        <w:r w:rsidRPr="00B0548A">
          <w:rPr>
            <w:rStyle w:val="Hyperlink"/>
            <w:rFonts w:ascii="Aptos" w:hAnsi="Aptos" w:cs="Arial"/>
            <w:color w:val="191919"/>
          </w:rPr>
          <w:t>German</w:t>
        </w:r>
        <w:proofErr w:type="spellEnd"/>
        <w:r w:rsidRPr="00B0548A">
          <w:rPr>
            <w:rStyle w:val="Hyperlink"/>
            <w:rFonts w:ascii="Aptos" w:hAnsi="Aptos" w:cs="Arial"/>
            <w:color w:val="191919"/>
          </w:rPr>
          <w:t xml:space="preserve"> Bundestag (E-</w:t>
        </w:r>
        <w:proofErr w:type="spellStart"/>
        <w:r w:rsidRPr="00B0548A">
          <w:rPr>
            <w:rStyle w:val="Hyperlink"/>
            <w:rFonts w:ascii="Aptos" w:hAnsi="Aptos" w:cs="Arial"/>
            <w:color w:val="191919"/>
          </w:rPr>
          <w:t>Book</w:t>
        </w:r>
        <w:proofErr w:type="spellEnd"/>
        <w:r w:rsidRPr="00B0548A">
          <w:rPr>
            <w:rStyle w:val="Hyperlink"/>
            <w:rFonts w:ascii="Aptos" w:hAnsi="Aptos" w:cs="Arial"/>
            <w:color w:val="191919"/>
          </w:rPr>
          <w:t>)</w:t>
        </w:r>
      </w:hyperlink>
      <w:r w:rsidRPr="00B0548A">
        <w:rPr>
          <w:rFonts w:ascii="Aptos" w:hAnsi="Aptos" w:cs="Arial"/>
          <w:color w:val="191919"/>
        </w:rPr>
        <w:t>;</w:t>
      </w:r>
    </w:p>
    <w:p w14:paraId="0937995B" w14:textId="77777777" w:rsidR="00E61D5B" w:rsidRPr="00B0548A" w:rsidRDefault="00E61D5B" w:rsidP="00E61D5B">
      <w:pPr>
        <w:numPr>
          <w:ilvl w:val="0"/>
          <w:numId w:val="42"/>
        </w:numPr>
        <w:shd w:val="clear" w:color="auto" w:fill="FFFFFF"/>
        <w:overflowPunct/>
        <w:autoSpaceDE/>
        <w:autoSpaceDN/>
        <w:adjustRightInd/>
        <w:spacing w:after="0" w:line="276" w:lineRule="auto"/>
        <w:textAlignment w:val="auto"/>
        <w:rPr>
          <w:rFonts w:ascii="Aptos" w:hAnsi="Aptos" w:cs="Arial"/>
          <w:color w:val="191919"/>
        </w:rPr>
      </w:pPr>
      <w:hyperlink r:id="rId10" w:tgtFrame="_blank" w:tooltip="Basic Law for the Federal Republic of Germany (PDF), External link opens a new window" w:history="1">
        <w:proofErr w:type="spellStart"/>
        <w:r w:rsidRPr="00B0548A">
          <w:rPr>
            <w:rStyle w:val="Hyperlink"/>
            <w:rFonts w:ascii="Aptos" w:hAnsi="Aptos" w:cs="Arial"/>
            <w:color w:val="191919"/>
          </w:rPr>
          <w:t>Basic</w:t>
        </w:r>
        <w:proofErr w:type="spellEnd"/>
        <w:r w:rsidRPr="00B0548A">
          <w:rPr>
            <w:rStyle w:val="Hyperlink"/>
            <w:rFonts w:ascii="Aptos" w:hAnsi="Aptos" w:cs="Arial"/>
            <w:color w:val="191919"/>
          </w:rPr>
          <w:t xml:space="preserve"> </w:t>
        </w:r>
        <w:proofErr w:type="spellStart"/>
        <w:r w:rsidRPr="00B0548A">
          <w:rPr>
            <w:rStyle w:val="Hyperlink"/>
            <w:rFonts w:ascii="Aptos" w:hAnsi="Aptos" w:cs="Arial"/>
            <w:color w:val="191919"/>
          </w:rPr>
          <w:t>Law</w:t>
        </w:r>
        <w:proofErr w:type="spellEnd"/>
        <w:r w:rsidRPr="00B0548A">
          <w:rPr>
            <w:rStyle w:val="Hyperlink"/>
            <w:rFonts w:ascii="Aptos" w:hAnsi="Aptos" w:cs="Arial"/>
            <w:color w:val="191919"/>
          </w:rPr>
          <w:t xml:space="preserve"> for the Federal </w:t>
        </w:r>
        <w:proofErr w:type="spellStart"/>
        <w:r w:rsidRPr="00B0548A">
          <w:rPr>
            <w:rStyle w:val="Hyperlink"/>
            <w:rFonts w:ascii="Aptos" w:hAnsi="Aptos" w:cs="Arial"/>
            <w:color w:val="191919"/>
          </w:rPr>
          <w:t>Republic</w:t>
        </w:r>
        <w:proofErr w:type="spellEnd"/>
        <w:r w:rsidRPr="00B0548A">
          <w:rPr>
            <w:rStyle w:val="Hyperlink"/>
            <w:rFonts w:ascii="Aptos" w:hAnsi="Aptos" w:cs="Arial"/>
            <w:color w:val="191919"/>
          </w:rPr>
          <w:t xml:space="preserve"> of </w:t>
        </w:r>
        <w:proofErr w:type="spellStart"/>
        <w:r w:rsidRPr="00B0548A">
          <w:rPr>
            <w:rStyle w:val="Hyperlink"/>
            <w:rFonts w:ascii="Aptos" w:hAnsi="Aptos" w:cs="Arial"/>
            <w:color w:val="191919"/>
          </w:rPr>
          <w:t>Germany</w:t>
        </w:r>
        <w:proofErr w:type="spellEnd"/>
        <w:r w:rsidRPr="00B0548A">
          <w:rPr>
            <w:rStyle w:val="Hyperlink"/>
            <w:rFonts w:ascii="Aptos" w:hAnsi="Aptos" w:cs="Arial"/>
            <w:color w:val="191919"/>
          </w:rPr>
          <w:t xml:space="preserve"> (PDF)</w:t>
        </w:r>
      </w:hyperlink>
    </w:p>
    <w:p w14:paraId="3502EB03" w14:textId="77777777" w:rsidR="00E61D5B" w:rsidRPr="00B0548A" w:rsidRDefault="00E61D5B" w:rsidP="00E61D5B">
      <w:pPr>
        <w:numPr>
          <w:ilvl w:val="0"/>
          <w:numId w:val="42"/>
        </w:numPr>
        <w:overflowPunct/>
        <w:autoSpaceDE/>
        <w:autoSpaceDN/>
        <w:adjustRightInd/>
        <w:spacing w:before="100" w:beforeAutospacing="1" w:after="100" w:afterAutospacing="1" w:line="276" w:lineRule="auto"/>
        <w:textAlignment w:val="auto"/>
        <w:rPr>
          <w:rFonts w:ascii="Aptos" w:hAnsi="Aptos"/>
        </w:rPr>
      </w:pPr>
      <w:hyperlink r:id="rId11" w:history="1">
        <w:r w:rsidRPr="00B0548A">
          <w:rPr>
            <w:rStyle w:val="Hyperlink"/>
            <w:rFonts w:ascii="Aptos" w:hAnsi="Aptos"/>
          </w:rPr>
          <w:t>https://www.btg-bestellservice.de/pdf/80201000.pdf</w:t>
        </w:r>
      </w:hyperlink>
      <w:r w:rsidRPr="00B0548A">
        <w:rPr>
          <w:rFonts w:ascii="Aptos" w:hAnsi="Aptos"/>
        </w:rPr>
        <w:t xml:space="preserve">; </w:t>
      </w:r>
    </w:p>
    <w:p w14:paraId="4BFE9959" w14:textId="77777777" w:rsidR="00E61D5B" w:rsidRPr="00B0548A" w:rsidRDefault="00E61D5B" w:rsidP="00E61D5B">
      <w:pPr>
        <w:numPr>
          <w:ilvl w:val="0"/>
          <w:numId w:val="42"/>
        </w:numPr>
        <w:overflowPunct/>
        <w:autoSpaceDE/>
        <w:autoSpaceDN/>
        <w:adjustRightInd/>
        <w:spacing w:before="100" w:beforeAutospacing="1" w:after="100" w:afterAutospacing="1" w:line="276" w:lineRule="auto"/>
        <w:textAlignment w:val="auto"/>
        <w:rPr>
          <w:rFonts w:ascii="Aptos" w:hAnsi="Aptos"/>
        </w:rPr>
      </w:pPr>
      <w:hyperlink r:id="rId12" w:history="1">
        <w:r w:rsidRPr="00B0548A">
          <w:rPr>
            <w:rStyle w:val="Hyperlink"/>
            <w:rFonts w:ascii="Aptos" w:hAnsi="Aptos"/>
          </w:rPr>
          <w:t>https://committees.parliament.uk/committee/326/petitions-committee/news/99341/committee-opens-consultation-on-its-working-methods/</w:t>
        </w:r>
      </w:hyperlink>
      <w:r w:rsidRPr="00B0548A">
        <w:rPr>
          <w:rFonts w:ascii="Aptos" w:hAnsi="Aptos"/>
        </w:rPr>
        <w:t xml:space="preserve">; </w:t>
      </w:r>
    </w:p>
    <w:p w14:paraId="014DBB36" w14:textId="77777777" w:rsidR="00E61D5B" w:rsidRPr="00B0548A" w:rsidRDefault="00E61D5B" w:rsidP="00E61D5B">
      <w:pPr>
        <w:numPr>
          <w:ilvl w:val="0"/>
          <w:numId w:val="42"/>
        </w:numPr>
        <w:overflowPunct/>
        <w:autoSpaceDE/>
        <w:autoSpaceDN/>
        <w:adjustRightInd/>
        <w:spacing w:before="100" w:beforeAutospacing="1" w:after="100" w:afterAutospacing="1" w:line="276" w:lineRule="auto"/>
        <w:textAlignment w:val="auto"/>
        <w:rPr>
          <w:rFonts w:ascii="Aptos" w:hAnsi="Aptos"/>
        </w:rPr>
      </w:pPr>
      <w:hyperlink r:id="rId13" w:history="1">
        <w:r w:rsidRPr="00B0548A">
          <w:rPr>
            <w:rStyle w:val="Hyperlink"/>
            <w:rFonts w:ascii="Aptos" w:hAnsi="Aptos"/>
          </w:rPr>
          <w:t>https://committees.parliament.uk/committee/326/petitions-committee/role/</w:t>
        </w:r>
      </w:hyperlink>
      <w:r w:rsidRPr="00B0548A">
        <w:rPr>
          <w:rFonts w:ascii="Aptos" w:hAnsi="Aptos"/>
        </w:rPr>
        <w:t xml:space="preserve">; </w:t>
      </w:r>
    </w:p>
    <w:p w14:paraId="1E13ABDC" w14:textId="77777777" w:rsidR="00E61D5B" w:rsidRPr="00B0548A" w:rsidRDefault="00E61D5B" w:rsidP="00E61D5B">
      <w:pPr>
        <w:numPr>
          <w:ilvl w:val="0"/>
          <w:numId w:val="42"/>
        </w:numPr>
        <w:overflowPunct/>
        <w:autoSpaceDE/>
        <w:autoSpaceDN/>
        <w:adjustRightInd/>
        <w:spacing w:before="100" w:beforeAutospacing="1" w:after="100" w:afterAutospacing="1" w:line="276" w:lineRule="auto"/>
        <w:textAlignment w:val="auto"/>
        <w:rPr>
          <w:rFonts w:ascii="Aptos" w:hAnsi="Aptos"/>
        </w:rPr>
      </w:pPr>
      <w:hyperlink r:id="rId14" w:history="1">
        <w:r w:rsidRPr="00B0548A">
          <w:rPr>
            <w:rStyle w:val="Hyperlink"/>
            <w:rFonts w:ascii="Aptos" w:hAnsi="Aptos"/>
          </w:rPr>
          <w:t>https://www.parliament.uk/about/how/committees/select/</w:t>
        </w:r>
      </w:hyperlink>
      <w:r w:rsidRPr="00B0548A">
        <w:rPr>
          <w:rFonts w:ascii="Aptos" w:hAnsi="Aptos"/>
        </w:rPr>
        <w:t xml:space="preserve">; </w:t>
      </w:r>
    </w:p>
    <w:p w14:paraId="704DB338" w14:textId="77777777" w:rsidR="00E61D5B" w:rsidRPr="00B0548A" w:rsidRDefault="00E61D5B" w:rsidP="00E61D5B">
      <w:pPr>
        <w:rPr>
          <w:rFonts w:ascii="Aptos" w:hAnsi="Aptos"/>
        </w:rPr>
      </w:pPr>
    </w:p>
    <w:sectPr w:rsidR="00E61D5B" w:rsidRPr="00B0548A" w:rsidSect="00DE0095">
      <w:headerReference w:type="default" r:id="rId15"/>
      <w:footerReference w:type="default" r:id="rId16"/>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7E220" w14:textId="77777777" w:rsidR="00DE0095" w:rsidRDefault="00DE0095" w:rsidP="00FE6CF2">
      <w:pPr>
        <w:spacing w:after="0"/>
      </w:pPr>
      <w:r>
        <w:separator/>
      </w:r>
    </w:p>
  </w:endnote>
  <w:endnote w:type="continuationSeparator" w:id="0">
    <w:p w14:paraId="4E09B2D3" w14:textId="77777777" w:rsidR="00DE0095" w:rsidRDefault="00DE0095" w:rsidP="00FE6C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Times">
    <w:panose1 w:val="02020603050405020304"/>
    <w:charset w:val="00"/>
    <w:family w:val="auto"/>
    <w:pitch w:val="variable"/>
    <w:sig w:usb0="00000003" w:usb1="00000000" w:usb2="00000000" w:usb3="00000000" w:csb0="00000001" w:csb1="00000000"/>
  </w:font>
  <w:font w:name="Apple Color Emoji">
    <w:altName w:val="Cambria"/>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7338" w14:textId="697CC1C4" w:rsidR="002C1C9B" w:rsidRDefault="002C1C9B" w:rsidP="002C1C9B">
    <w:pPr>
      <w:pStyle w:val="NormalWeb"/>
    </w:pPr>
    <w:r w:rsidRPr="00C56600">
      <w:rPr>
        <w:noProof/>
      </w:rPr>
      <w:drawing>
        <wp:inline distT="0" distB="0" distL="0" distR="0" wp14:anchorId="72227A3B" wp14:editId="2FB81734">
          <wp:extent cx="923925" cy="670900"/>
          <wp:effectExtent l="0" t="0" r="0" b="0"/>
          <wp:docPr id="17107551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733" cy="672939"/>
                  </a:xfrm>
                  <a:prstGeom prst="rect">
                    <a:avLst/>
                  </a:prstGeom>
                  <a:noFill/>
                  <a:ln>
                    <a:noFill/>
                  </a:ln>
                </pic:spPr>
              </pic:pic>
            </a:graphicData>
          </a:graphic>
        </wp:inline>
      </w:drawing>
    </w:r>
    <w:r>
      <w:rPr>
        <w:noProof/>
      </w:rPr>
      <w:drawing>
        <wp:inline distT="0" distB="0" distL="0" distR="0" wp14:anchorId="16986593" wp14:editId="465D461B">
          <wp:extent cx="1625648" cy="542925"/>
          <wp:effectExtent l="0" t="0" r="0" b="0"/>
          <wp:docPr id="1907216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6079" cy="546409"/>
                  </a:xfrm>
                  <a:prstGeom prst="rect">
                    <a:avLst/>
                  </a:prstGeom>
                  <a:noFill/>
                  <a:ln>
                    <a:noFill/>
                  </a:ln>
                </pic:spPr>
              </pic:pic>
            </a:graphicData>
          </a:graphic>
        </wp:inline>
      </w:drawing>
    </w:r>
  </w:p>
  <w:p w14:paraId="67EF140A" w14:textId="77777777" w:rsidR="004D1B4D" w:rsidRDefault="004D1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552CB" w14:textId="77777777" w:rsidR="00DE0095" w:rsidRDefault="00DE0095" w:rsidP="00FE6CF2">
      <w:pPr>
        <w:spacing w:after="0"/>
      </w:pPr>
      <w:bookmarkStart w:id="0" w:name="_Hlk182577688"/>
      <w:bookmarkEnd w:id="0"/>
      <w:r>
        <w:separator/>
      </w:r>
    </w:p>
  </w:footnote>
  <w:footnote w:type="continuationSeparator" w:id="0">
    <w:p w14:paraId="7637EF19" w14:textId="77777777" w:rsidR="00DE0095" w:rsidRDefault="00DE0095" w:rsidP="00FE6CF2">
      <w:pPr>
        <w:spacing w:after="0"/>
      </w:pPr>
      <w:r>
        <w:continuationSeparator/>
      </w:r>
    </w:p>
  </w:footnote>
  <w:footnote w:id="1">
    <w:p w14:paraId="051E7C3B" w14:textId="797AB9A4" w:rsidR="00930FFD" w:rsidRPr="00930FFD" w:rsidRDefault="00930FFD">
      <w:pPr>
        <w:pStyle w:val="FootnoteText"/>
        <w:rPr>
          <w:lang w:val="en-US"/>
        </w:rPr>
      </w:pPr>
      <w:r>
        <w:rPr>
          <w:rStyle w:val="FootnoteReference"/>
        </w:rPr>
        <w:footnoteRef/>
      </w:r>
      <w:r>
        <w:t xml:space="preserve"> </w:t>
      </w:r>
      <w:bookmarkStart w:id="1" w:name="_Hlk190682985"/>
      <w:r>
        <w:rPr>
          <w:sz w:val="18"/>
          <w:szCs w:val="18"/>
        </w:rPr>
        <w:t>Ky dokument</w:t>
      </w:r>
      <w:r w:rsidRPr="00C54BEB">
        <w:rPr>
          <w:sz w:val="18"/>
          <w:szCs w:val="18"/>
        </w:rPr>
        <w:t xml:space="preserve"> është </w:t>
      </w:r>
      <w:r>
        <w:rPr>
          <w:sz w:val="18"/>
          <w:szCs w:val="18"/>
        </w:rPr>
        <w:t xml:space="preserve">hartuar </w:t>
      </w:r>
      <w:r w:rsidRPr="00C54BEB">
        <w:rPr>
          <w:sz w:val="18"/>
          <w:szCs w:val="18"/>
        </w:rPr>
        <w:t>në kuadër të projektit “Rritja e përgjegjshmërisë së parlamentit ndaj shqetësimeve të qytetarëve”, zbatuar nga Instituti për Demokraci dhe Ndërmjetësim (IDM)</w:t>
      </w:r>
      <w:r>
        <w:rPr>
          <w:sz w:val="18"/>
          <w:szCs w:val="18"/>
        </w:rPr>
        <w:t xml:space="preserve"> ne partneritet me Institutin Shqiptar të Shkencës (AIS) dhe </w:t>
      </w:r>
      <w:proofErr w:type="spellStart"/>
      <w:r>
        <w:rPr>
          <w:sz w:val="18"/>
          <w:szCs w:val="18"/>
        </w:rPr>
        <w:t>Citizens</w:t>
      </w:r>
      <w:proofErr w:type="spellEnd"/>
      <w:r>
        <w:rPr>
          <w:sz w:val="18"/>
          <w:szCs w:val="18"/>
        </w:rPr>
        <w:t xml:space="preserve"> </w:t>
      </w:r>
      <w:proofErr w:type="spellStart"/>
      <w:r>
        <w:rPr>
          <w:sz w:val="18"/>
          <w:szCs w:val="18"/>
        </w:rPr>
        <w:t>Channel</w:t>
      </w:r>
      <w:proofErr w:type="spellEnd"/>
      <w:r>
        <w:rPr>
          <w:sz w:val="18"/>
          <w:szCs w:val="18"/>
        </w:rPr>
        <w:t xml:space="preserve">, </w:t>
      </w:r>
      <w:r w:rsidRPr="00C54BEB">
        <w:rPr>
          <w:sz w:val="18"/>
          <w:szCs w:val="18"/>
        </w:rPr>
        <w:t>me mbështetjen financiare të Qeverisë Britanike.</w:t>
      </w:r>
      <w:bookmarkEnd w:id="1"/>
    </w:p>
  </w:footnote>
  <w:footnote w:id="2">
    <w:p w14:paraId="6A61CAD4" w14:textId="77777777" w:rsidR="00E61D5B" w:rsidRPr="00E72D9F" w:rsidRDefault="00E61D5B" w:rsidP="00E61D5B">
      <w:pPr>
        <w:spacing w:before="100" w:beforeAutospacing="1" w:after="100" w:afterAutospacing="1"/>
        <w:rPr>
          <w:sz w:val="20"/>
          <w:szCs w:val="20"/>
        </w:rPr>
      </w:pPr>
      <w:r>
        <w:rPr>
          <w:rStyle w:val="FootnoteReference"/>
          <w:rFonts w:eastAsiaTheme="majorEastAsia"/>
        </w:rPr>
        <w:footnoteRef/>
      </w:r>
      <w:r>
        <w:t xml:space="preserve"> </w:t>
      </w:r>
      <w:r w:rsidRPr="004D0459">
        <w:rPr>
          <w:rStyle w:val="Strong"/>
          <w:rFonts w:eastAsiaTheme="majorEastAsia"/>
          <w:sz w:val="20"/>
          <w:szCs w:val="20"/>
        </w:rPr>
        <w:t>Neni 17 i Ligjit Themelor të Gjermanisë (</w:t>
      </w:r>
      <w:proofErr w:type="spellStart"/>
      <w:r w:rsidRPr="004D0459">
        <w:rPr>
          <w:rStyle w:val="Strong"/>
          <w:rFonts w:eastAsiaTheme="majorEastAsia"/>
          <w:sz w:val="20"/>
          <w:szCs w:val="20"/>
        </w:rPr>
        <w:t>Grundgesetz</w:t>
      </w:r>
      <w:proofErr w:type="spellEnd"/>
      <w:r w:rsidRPr="004D0459">
        <w:rPr>
          <w:rStyle w:val="Strong"/>
          <w:rFonts w:eastAsiaTheme="majorEastAsia"/>
          <w:sz w:val="20"/>
          <w:szCs w:val="20"/>
        </w:rPr>
        <w:t>, GG)</w:t>
      </w:r>
      <w:r w:rsidRPr="00E72D9F">
        <w:rPr>
          <w:sz w:val="20"/>
          <w:szCs w:val="20"/>
        </w:rPr>
        <w:t xml:space="preserve">përcakton se çdo qytetar ka të drejtën t’u drejtohet me peticion autoriteteve publike apo Bundestagut pa asnjë lloj </w:t>
      </w:r>
      <w:proofErr w:type="spellStart"/>
      <w:r w:rsidRPr="00E72D9F">
        <w:rPr>
          <w:sz w:val="20"/>
          <w:szCs w:val="20"/>
        </w:rPr>
        <w:t>penalizimi</w:t>
      </w:r>
      <w:proofErr w:type="spellEnd"/>
      <w:r w:rsidRPr="00E72D9F">
        <w:rPr>
          <w:sz w:val="20"/>
          <w:szCs w:val="20"/>
        </w:rPr>
        <w:t xml:space="preserve"> apo diskriminimi. Në përputhje me këtë dispozitë kushtetuese, legjislacioni gjerman ka zhvilluar rregulla dhe procedura specifike që garantojnë një trajtim të drejtë dhe të efektshëm të peticioneve.</w:t>
      </w:r>
    </w:p>
    <w:p w14:paraId="44AF1C94" w14:textId="77777777" w:rsidR="00E61D5B" w:rsidRDefault="00E61D5B" w:rsidP="00E61D5B">
      <w:pPr>
        <w:pStyle w:val="FootnoteText"/>
      </w:pPr>
    </w:p>
  </w:footnote>
  <w:footnote w:id="3">
    <w:p w14:paraId="0CE83362" w14:textId="77777777" w:rsidR="00E61D5B" w:rsidRDefault="00E61D5B" w:rsidP="00E61D5B">
      <w:pPr>
        <w:pStyle w:val="FootnoteText"/>
      </w:pPr>
      <w:r>
        <w:rPr>
          <w:rStyle w:val="FootnoteReference"/>
          <w:rFonts w:eastAsiaTheme="majorEastAsia"/>
        </w:rPr>
        <w:footnoteRef/>
      </w:r>
      <w:r>
        <w:t xml:space="preserve"> </w:t>
      </w:r>
      <w:hyperlink r:id="rId1" w:history="1">
        <w:r w:rsidRPr="00355E7A">
          <w:rPr>
            <w:rStyle w:val="Hyperlink"/>
          </w:rPr>
          <w:t>https://www.parliament.scot/chamber-and-committees/committees/current-and-previous-committees/session-6-citizen-participation-and-public-petitions-committee</w:t>
        </w:r>
      </w:hyperlink>
      <w:r>
        <w:t xml:space="preserve">; </w:t>
      </w:r>
    </w:p>
  </w:footnote>
  <w:footnote w:id="4">
    <w:p w14:paraId="4307F35E" w14:textId="77777777" w:rsidR="00E61D5B" w:rsidRPr="000E4BBD" w:rsidRDefault="00E61D5B" w:rsidP="00E61D5B">
      <w:pPr>
        <w:rPr>
          <w:rFonts w:ascii="Times" w:hAnsi="Times"/>
          <w:sz w:val="18"/>
          <w:szCs w:val="18"/>
        </w:rPr>
      </w:pPr>
      <w:r>
        <w:rPr>
          <w:rStyle w:val="FootnoteReference"/>
          <w:rFonts w:eastAsiaTheme="majorEastAsia"/>
        </w:rPr>
        <w:footnoteRef/>
      </w:r>
      <w:r>
        <w:t xml:space="preserve"> </w:t>
      </w:r>
      <w:hyperlink r:id="rId2" w:tgtFrame="_blank" w:history="1">
        <w:r w:rsidRPr="000E4BBD">
          <w:rPr>
            <w:rFonts w:cs="Arial"/>
            <w:color w:val="1155CC"/>
            <w:sz w:val="18"/>
            <w:szCs w:val="18"/>
            <w:u w:val="single"/>
            <w:shd w:val="clear" w:color="auto" w:fill="FFFFFF"/>
          </w:rPr>
          <w:t>https://www.europarl.europa.eu/at-your-service/en/be-heard/petitions</w:t>
        </w:r>
      </w:hyperlink>
    </w:p>
    <w:p w14:paraId="231042E7" w14:textId="77777777" w:rsidR="00E61D5B" w:rsidRPr="000E4BBD" w:rsidRDefault="00E61D5B" w:rsidP="00E61D5B">
      <w:pPr>
        <w:pStyle w:val="FootnoteText"/>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277A7" w14:textId="54ED5421" w:rsidR="004D1B4D" w:rsidRDefault="006A2581" w:rsidP="004D1B4D">
    <w:pPr>
      <w:pBdr>
        <w:top w:val="nil"/>
        <w:left w:val="nil"/>
        <w:bottom w:val="nil"/>
        <w:right w:val="nil"/>
        <w:between w:val="nil"/>
      </w:pBdr>
      <w:tabs>
        <w:tab w:val="center" w:pos="4513"/>
        <w:tab w:val="right" w:pos="9026"/>
      </w:tabs>
      <w:rPr>
        <w:rFonts w:cs="Calibri"/>
      </w:rPr>
    </w:pPr>
    <w:r>
      <w:rPr>
        <w:rFonts w:cs="Calibri"/>
        <w:noProof/>
      </w:rPr>
      <w:drawing>
        <wp:anchor distT="0" distB="0" distL="114300" distR="114300" simplePos="0" relativeHeight="251685376" behindDoc="0" locked="0" layoutInCell="1" allowOverlap="1" wp14:anchorId="5E5AEAE8" wp14:editId="1D685785">
          <wp:simplePos x="0" y="0"/>
          <wp:positionH relativeFrom="column">
            <wp:posOffset>3114390</wp:posOffset>
          </wp:positionH>
          <wp:positionV relativeFrom="paragraph">
            <wp:posOffset>-180975</wp:posOffset>
          </wp:positionV>
          <wp:extent cx="895350" cy="438150"/>
          <wp:effectExtent l="0" t="0" r="0" b="0"/>
          <wp:wrapSquare wrapText="bothSides"/>
          <wp:docPr id="1465832416" name="image1.png" descr="Albanian Institute of Science"/>
          <wp:cNvGraphicFramePr/>
          <a:graphic xmlns:a="http://schemas.openxmlformats.org/drawingml/2006/main">
            <a:graphicData uri="http://schemas.openxmlformats.org/drawingml/2006/picture">
              <pic:pic xmlns:pic="http://schemas.openxmlformats.org/drawingml/2006/picture">
                <pic:nvPicPr>
                  <pic:cNvPr id="0" name="image1.png" descr="Albanian Institute of Science"/>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95350" cy="438150"/>
                  </a:xfrm>
                  <a:prstGeom prst="rect">
                    <a:avLst/>
                  </a:prstGeom>
                  <a:ln/>
                </pic:spPr>
              </pic:pic>
            </a:graphicData>
          </a:graphic>
          <wp14:sizeRelH relativeFrom="margin">
            <wp14:pctWidth>0</wp14:pctWidth>
          </wp14:sizeRelH>
          <wp14:sizeRelV relativeFrom="margin">
            <wp14:pctHeight>0</wp14:pctHeight>
          </wp14:sizeRelV>
        </wp:anchor>
      </w:drawing>
    </w:r>
    <w:r>
      <w:rPr>
        <w:rFonts w:cs="Calibri"/>
        <w:noProof/>
      </w:rPr>
      <w:drawing>
        <wp:anchor distT="0" distB="0" distL="114300" distR="114300" simplePos="0" relativeHeight="251687424" behindDoc="0" locked="0" layoutInCell="1" allowOverlap="1" wp14:anchorId="5A237AA3" wp14:editId="208D4400">
          <wp:simplePos x="0" y="0"/>
          <wp:positionH relativeFrom="column">
            <wp:posOffset>4984987</wp:posOffset>
          </wp:positionH>
          <wp:positionV relativeFrom="paragraph">
            <wp:posOffset>-267638</wp:posOffset>
          </wp:positionV>
          <wp:extent cx="971550" cy="560070"/>
          <wp:effectExtent l="0" t="0" r="0" b="0"/>
          <wp:wrapSquare wrapText="bothSides"/>
          <wp:docPr id="1106050269" name="image4.png" descr="C:\Users\HP\Downloads\citizens channel logo.png"/>
          <wp:cNvGraphicFramePr/>
          <a:graphic xmlns:a="http://schemas.openxmlformats.org/drawingml/2006/main">
            <a:graphicData uri="http://schemas.openxmlformats.org/drawingml/2006/picture">
              <pic:pic xmlns:pic="http://schemas.openxmlformats.org/drawingml/2006/picture">
                <pic:nvPicPr>
                  <pic:cNvPr id="0" name="image4.png" descr="C:\Users\HP\Downloads\citizens channel logo.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971550" cy="560070"/>
                  </a:xfrm>
                  <a:prstGeom prst="rect">
                    <a:avLst/>
                  </a:prstGeom>
                  <a:ln/>
                </pic:spPr>
              </pic:pic>
            </a:graphicData>
          </a:graphic>
          <wp14:sizeRelH relativeFrom="margin">
            <wp14:pctWidth>0</wp14:pctWidth>
          </wp14:sizeRelH>
          <wp14:sizeRelV relativeFrom="margin">
            <wp14:pctHeight>0</wp14:pctHeight>
          </wp14:sizeRelV>
        </wp:anchor>
      </w:drawing>
    </w:r>
    <w:r w:rsidR="00C54BEB">
      <w:rPr>
        <w:noProof/>
      </w:rPr>
      <w:drawing>
        <wp:anchor distT="0" distB="0" distL="114300" distR="114300" simplePos="0" relativeHeight="251638272" behindDoc="0" locked="0" layoutInCell="1" hidden="0" allowOverlap="1" wp14:anchorId="35BE516F" wp14:editId="5D5C795D">
          <wp:simplePos x="0" y="0"/>
          <wp:positionH relativeFrom="column">
            <wp:posOffset>150124</wp:posOffset>
          </wp:positionH>
          <wp:positionV relativeFrom="paragraph">
            <wp:posOffset>-184244</wp:posOffset>
          </wp:positionV>
          <wp:extent cx="1394195" cy="566382"/>
          <wp:effectExtent l="0" t="0" r="0" b="5715"/>
          <wp:wrapNone/>
          <wp:docPr id="366722913" name="image3.png" descr="A blue arrow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1544099485" name="image3.png" descr="A blue arrow with text&#10;&#10;Description automatically generated"/>
                  <pic:cNvPicPr preferRelativeResize="0"/>
                </pic:nvPicPr>
                <pic:blipFill>
                  <a:blip r:embed="rId3"/>
                  <a:srcRect/>
                  <a:stretch>
                    <a:fillRect/>
                  </a:stretch>
                </pic:blipFill>
                <pic:spPr>
                  <a:xfrm>
                    <a:off x="0" y="0"/>
                    <a:ext cx="1398300" cy="568050"/>
                  </a:xfrm>
                  <a:prstGeom prst="rect">
                    <a:avLst/>
                  </a:prstGeom>
                  <a:ln/>
                </pic:spPr>
              </pic:pic>
            </a:graphicData>
          </a:graphic>
          <wp14:sizeRelH relativeFrom="margin">
            <wp14:pctWidth>0</wp14:pctWidth>
          </wp14:sizeRelH>
          <wp14:sizeRelV relativeFrom="margin">
            <wp14:pctHeight>0</wp14:pctHeight>
          </wp14:sizeRelV>
        </wp:anchor>
      </w:drawing>
    </w:r>
    <w:r w:rsidR="004D1B4D">
      <w:rPr>
        <w:rFonts w:cs="Calibri"/>
      </w:rPr>
      <w:t xml:space="preserve">                                                                                             </w:t>
    </w:r>
  </w:p>
  <w:p w14:paraId="6137E10E" w14:textId="77777777" w:rsidR="004D1B4D" w:rsidRDefault="004D1B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BCC"/>
    <w:multiLevelType w:val="multilevel"/>
    <w:tmpl w:val="F7169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13A0F"/>
    <w:multiLevelType w:val="hybridMultilevel"/>
    <w:tmpl w:val="F4087EA6"/>
    <w:lvl w:ilvl="0" w:tplc="49662F2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C700CE"/>
    <w:multiLevelType w:val="multilevel"/>
    <w:tmpl w:val="31224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53611C"/>
    <w:multiLevelType w:val="hybridMultilevel"/>
    <w:tmpl w:val="5846E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B7B7A"/>
    <w:multiLevelType w:val="hybridMultilevel"/>
    <w:tmpl w:val="8274F9A2"/>
    <w:lvl w:ilvl="0" w:tplc="08B0B1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324524"/>
    <w:multiLevelType w:val="multilevel"/>
    <w:tmpl w:val="9656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A91F41"/>
    <w:multiLevelType w:val="multilevel"/>
    <w:tmpl w:val="7222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DC561D"/>
    <w:multiLevelType w:val="hybridMultilevel"/>
    <w:tmpl w:val="F20E9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25143A"/>
    <w:multiLevelType w:val="multilevel"/>
    <w:tmpl w:val="784EDCD4"/>
    <w:lvl w:ilvl="0">
      <w:start w:val="1"/>
      <w:numFmt w:val="decimal"/>
      <w:lvlText w:val="%1."/>
      <w:lvlJc w:val="left"/>
      <w:pPr>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7991095"/>
    <w:multiLevelType w:val="multilevel"/>
    <w:tmpl w:val="B7B88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5B00C1"/>
    <w:multiLevelType w:val="hybridMultilevel"/>
    <w:tmpl w:val="594C4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142BC4"/>
    <w:multiLevelType w:val="hybridMultilevel"/>
    <w:tmpl w:val="70AAC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D57E89"/>
    <w:multiLevelType w:val="hybridMultilevel"/>
    <w:tmpl w:val="2436826C"/>
    <w:lvl w:ilvl="0" w:tplc="49662F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BA4C11"/>
    <w:multiLevelType w:val="multilevel"/>
    <w:tmpl w:val="FF5A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5D58DE"/>
    <w:multiLevelType w:val="hybridMultilevel"/>
    <w:tmpl w:val="FEF4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5C79B2"/>
    <w:multiLevelType w:val="multilevel"/>
    <w:tmpl w:val="DAF6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3C7DFE"/>
    <w:multiLevelType w:val="multilevel"/>
    <w:tmpl w:val="7D2EE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5D64F5"/>
    <w:multiLevelType w:val="hybridMultilevel"/>
    <w:tmpl w:val="5A189E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7E7283"/>
    <w:multiLevelType w:val="hybridMultilevel"/>
    <w:tmpl w:val="9562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0B3D18"/>
    <w:multiLevelType w:val="hybridMultilevel"/>
    <w:tmpl w:val="DF10F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E60427"/>
    <w:multiLevelType w:val="multilevel"/>
    <w:tmpl w:val="A4C83A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33061E15"/>
    <w:multiLevelType w:val="multilevel"/>
    <w:tmpl w:val="8FB8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3B5CAD"/>
    <w:multiLevelType w:val="multilevel"/>
    <w:tmpl w:val="A4C83AA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343FB5"/>
    <w:multiLevelType w:val="multilevel"/>
    <w:tmpl w:val="AAB4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C41D91"/>
    <w:multiLevelType w:val="multilevel"/>
    <w:tmpl w:val="09520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AA06C9"/>
    <w:multiLevelType w:val="multilevel"/>
    <w:tmpl w:val="0CEC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7C66A0"/>
    <w:multiLevelType w:val="multilevel"/>
    <w:tmpl w:val="A4C83A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42447C84"/>
    <w:multiLevelType w:val="hybridMultilevel"/>
    <w:tmpl w:val="61B85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670F7D"/>
    <w:multiLevelType w:val="multilevel"/>
    <w:tmpl w:val="44361F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068"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7D4DBC"/>
    <w:multiLevelType w:val="hybridMultilevel"/>
    <w:tmpl w:val="AC7A78C0"/>
    <w:lvl w:ilvl="0" w:tplc="08B0B1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C21B12"/>
    <w:multiLevelType w:val="multilevel"/>
    <w:tmpl w:val="8468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946CDA"/>
    <w:multiLevelType w:val="multilevel"/>
    <w:tmpl w:val="879C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281EDA"/>
    <w:multiLevelType w:val="hybridMultilevel"/>
    <w:tmpl w:val="76D091B6"/>
    <w:lvl w:ilvl="0" w:tplc="0409000F">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3" w15:restartNumberingAfterBreak="0">
    <w:nsid w:val="47985E39"/>
    <w:multiLevelType w:val="multilevel"/>
    <w:tmpl w:val="0268C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FE7351"/>
    <w:multiLevelType w:val="hybridMultilevel"/>
    <w:tmpl w:val="D102B9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9586AE0"/>
    <w:multiLevelType w:val="multilevel"/>
    <w:tmpl w:val="B83A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9F17986"/>
    <w:multiLevelType w:val="hybridMultilevel"/>
    <w:tmpl w:val="DB12D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9A7D84"/>
    <w:multiLevelType w:val="multilevel"/>
    <w:tmpl w:val="1708D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D086171"/>
    <w:multiLevelType w:val="multilevel"/>
    <w:tmpl w:val="FDA2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18B0C78"/>
    <w:multiLevelType w:val="hybridMultilevel"/>
    <w:tmpl w:val="FCD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057B2E"/>
    <w:multiLevelType w:val="multilevel"/>
    <w:tmpl w:val="A928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6152224"/>
    <w:multiLevelType w:val="multilevel"/>
    <w:tmpl w:val="5192B7C8"/>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B650495"/>
    <w:multiLevelType w:val="hybridMultilevel"/>
    <w:tmpl w:val="083C612A"/>
    <w:lvl w:ilvl="0" w:tplc="08B0B1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6C35A3"/>
    <w:multiLevelType w:val="multilevel"/>
    <w:tmpl w:val="6610DDF6"/>
    <w:lvl w:ilvl="0">
      <w:start w:val="1"/>
      <w:numFmt w:val="decimal"/>
      <w:lvlText w:val="%1."/>
      <w:lvlJc w:val="left"/>
      <w:pPr>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5D850310"/>
    <w:multiLevelType w:val="multilevel"/>
    <w:tmpl w:val="6C92A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DC92BC4"/>
    <w:multiLevelType w:val="hybridMultilevel"/>
    <w:tmpl w:val="63F04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867A63"/>
    <w:multiLevelType w:val="hybridMultilevel"/>
    <w:tmpl w:val="17DA5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F8F0A21"/>
    <w:multiLevelType w:val="multilevel"/>
    <w:tmpl w:val="E67491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001388D"/>
    <w:multiLevelType w:val="hybridMultilevel"/>
    <w:tmpl w:val="7D26B92C"/>
    <w:lvl w:ilvl="0" w:tplc="49662F2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3E91447"/>
    <w:multiLevelType w:val="multilevel"/>
    <w:tmpl w:val="2A52CF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47C7E6F"/>
    <w:multiLevelType w:val="multilevel"/>
    <w:tmpl w:val="A4C83AAC"/>
    <w:lvl w:ilvl="0">
      <w:start w:val="1"/>
      <w:numFmt w:val="decimal"/>
      <w:lvlText w:val="%1."/>
      <w:lvlJc w:val="left"/>
      <w:pPr>
        <w:tabs>
          <w:tab w:val="num" w:pos="360"/>
        </w:tabs>
        <w:ind w:left="360" w:hanging="360"/>
      </w:p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1" w15:restartNumberingAfterBreak="0">
    <w:nsid w:val="75521D7E"/>
    <w:multiLevelType w:val="multilevel"/>
    <w:tmpl w:val="2CF6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7025B2C"/>
    <w:multiLevelType w:val="multilevel"/>
    <w:tmpl w:val="A4C83A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3" w15:restartNumberingAfterBreak="0">
    <w:nsid w:val="778F7B4E"/>
    <w:multiLevelType w:val="multilevel"/>
    <w:tmpl w:val="A4C83A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4" w15:restartNumberingAfterBreak="0">
    <w:nsid w:val="78F46D95"/>
    <w:multiLevelType w:val="multilevel"/>
    <w:tmpl w:val="8FD44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95507F1"/>
    <w:multiLevelType w:val="multilevel"/>
    <w:tmpl w:val="AEFE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C506F8F"/>
    <w:multiLevelType w:val="multilevel"/>
    <w:tmpl w:val="12161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F5E0BE6"/>
    <w:multiLevelType w:val="hybridMultilevel"/>
    <w:tmpl w:val="64349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FBE7EB1"/>
    <w:multiLevelType w:val="multilevel"/>
    <w:tmpl w:val="3284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651300">
    <w:abstractNumId w:val="24"/>
  </w:num>
  <w:num w:numId="2" w16cid:durableId="1433672313">
    <w:abstractNumId w:val="39"/>
  </w:num>
  <w:num w:numId="3" w16cid:durableId="1617718218">
    <w:abstractNumId w:val="3"/>
  </w:num>
  <w:num w:numId="4" w16cid:durableId="1615135891">
    <w:abstractNumId w:val="14"/>
  </w:num>
  <w:num w:numId="5" w16cid:durableId="60568554">
    <w:abstractNumId w:val="29"/>
  </w:num>
  <w:num w:numId="6" w16cid:durableId="1174611786">
    <w:abstractNumId w:val="4"/>
  </w:num>
  <w:num w:numId="7" w16cid:durableId="1636761822">
    <w:abstractNumId w:val="21"/>
  </w:num>
  <w:num w:numId="8" w16cid:durableId="784882662">
    <w:abstractNumId w:val="2"/>
  </w:num>
  <w:num w:numId="9" w16cid:durableId="204756483">
    <w:abstractNumId w:val="44"/>
  </w:num>
  <w:num w:numId="10" w16cid:durableId="2111118320">
    <w:abstractNumId w:val="6"/>
  </w:num>
  <w:num w:numId="11" w16cid:durableId="1871185525">
    <w:abstractNumId w:val="55"/>
  </w:num>
  <w:num w:numId="12" w16cid:durableId="1831479353">
    <w:abstractNumId w:val="40"/>
  </w:num>
  <w:num w:numId="13" w16cid:durableId="1744065563">
    <w:abstractNumId w:val="42"/>
  </w:num>
  <w:num w:numId="14" w16cid:durableId="869534705">
    <w:abstractNumId w:val="56"/>
  </w:num>
  <w:num w:numId="15" w16cid:durableId="997654956">
    <w:abstractNumId w:val="30"/>
  </w:num>
  <w:num w:numId="16" w16cid:durableId="896361670">
    <w:abstractNumId w:val="37"/>
  </w:num>
  <w:num w:numId="17" w16cid:durableId="1680422712">
    <w:abstractNumId w:val="35"/>
  </w:num>
  <w:num w:numId="18" w16cid:durableId="42565507">
    <w:abstractNumId w:val="23"/>
  </w:num>
  <w:num w:numId="19" w16cid:durableId="711272016">
    <w:abstractNumId w:val="5"/>
  </w:num>
  <w:num w:numId="20" w16cid:durableId="1746798166">
    <w:abstractNumId w:val="51"/>
  </w:num>
  <w:num w:numId="21" w16cid:durableId="227426371">
    <w:abstractNumId w:val="31"/>
  </w:num>
  <w:num w:numId="22" w16cid:durableId="1957131051">
    <w:abstractNumId w:val="9"/>
  </w:num>
  <w:num w:numId="23" w16cid:durableId="1348167951">
    <w:abstractNumId w:val="0"/>
  </w:num>
  <w:num w:numId="24" w16cid:durableId="574818873">
    <w:abstractNumId w:val="16"/>
  </w:num>
  <w:num w:numId="25" w16cid:durableId="554312437">
    <w:abstractNumId w:val="38"/>
  </w:num>
  <w:num w:numId="26" w16cid:durableId="1340541488">
    <w:abstractNumId w:val="33"/>
  </w:num>
  <w:num w:numId="27" w16cid:durableId="412624211">
    <w:abstractNumId w:val="54"/>
  </w:num>
  <w:num w:numId="28" w16cid:durableId="1291128339">
    <w:abstractNumId w:val="15"/>
  </w:num>
  <w:num w:numId="29" w16cid:durableId="772630623">
    <w:abstractNumId w:val="49"/>
  </w:num>
  <w:num w:numId="30" w16cid:durableId="1501432293">
    <w:abstractNumId w:val="13"/>
  </w:num>
  <w:num w:numId="31" w16cid:durableId="1531380755">
    <w:abstractNumId w:val="7"/>
  </w:num>
  <w:num w:numId="32" w16cid:durableId="1291471978">
    <w:abstractNumId w:val="34"/>
  </w:num>
  <w:num w:numId="33" w16cid:durableId="116802357">
    <w:abstractNumId w:val="36"/>
  </w:num>
  <w:num w:numId="34" w16cid:durableId="807016175">
    <w:abstractNumId w:val="47"/>
  </w:num>
  <w:num w:numId="35" w16cid:durableId="711227935">
    <w:abstractNumId w:val="46"/>
  </w:num>
  <w:num w:numId="36" w16cid:durableId="1176573555">
    <w:abstractNumId w:val="57"/>
  </w:num>
  <w:num w:numId="37" w16cid:durableId="1883177894">
    <w:abstractNumId w:val="18"/>
  </w:num>
  <w:num w:numId="38" w16cid:durableId="875191990">
    <w:abstractNumId w:val="19"/>
  </w:num>
  <w:num w:numId="39" w16cid:durableId="1882160619">
    <w:abstractNumId w:val="45"/>
  </w:num>
  <w:num w:numId="40" w16cid:durableId="739325513">
    <w:abstractNumId w:val="11"/>
  </w:num>
  <w:num w:numId="41" w16cid:durableId="641271974">
    <w:abstractNumId w:val="17"/>
  </w:num>
  <w:num w:numId="42" w16cid:durableId="967201997">
    <w:abstractNumId w:val="8"/>
  </w:num>
  <w:num w:numId="43" w16cid:durableId="755325421">
    <w:abstractNumId w:val="43"/>
  </w:num>
  <w:num w:numId="44" w16cid:durableId="2113940078">
    <w:abstractNumId w:val="52"/>
  </w:num>
  <w:num w:numId="45" w16cid:durableId="1842156993">
    <w:abstractNumId w:val="26"/>
  </w:num>
  <w:num w:numId="46" w16cid:durableId="1784499177">
    <w:abstractNumId w:val="25"/>
  </w:num>
  <w:num w:numId="47" w16cid:durableId="1473986081">
    <w:abstractNumId w:val="28"/>
  </w:num>
  <w:num w:numId="48" w16cid:durableId="394668988">
    <w:abstractNumId w:val="58"/>
  </w:num>
  <w:num w:numId="49" w16cid:durableId="575668448">
    <w:abstractNumId w:val="53"/>
  </w:num>
  <w:num w:numId="50" w16cid:durableId="915237756">
    <w:abstractNumId w:val="22"/>
  </w:num>
  <w:num w:numId="51" w16cid:durableId="1760101806">
    <w:abstractNumId w:val="20"/>
  </w:num>
  <w:num w:numId="52" w16cid:durableId="293948636">
    <w:abstractNumId w:val="50"/>
  </w:num>
  <w:num w:numId="53" w16cid:durableId="2025738639">
    <w:abstractNumId w:val="32"/>
  </w:num>
  <w:num w:numId="54" w16cid:durableId="927082023">
    <w:abstractNumId w:val="41"/>
  </w:num>
  <w:num w:numId="55" w16cid:durableId="133448122">
    <w:abstractNumId w:val="1"/>
  </w:num>
  <w:num w:numId="56" w16cid:durableId="192622772">
    <w:abstractNumId w:val="12"/>
  </w:num>
  <w:num w:numId="57" w16cid:durableId="577859737">
    <w:abstractNumId w:val="48"/>
  </w:num>
  <w:num w:numId="58" w16cid:durableId="1866676656">
    <w:abstractNumId w:val="27"/>
  </w:num>
  <w:num w:numId="59" w16cid:durableId="7535562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DE7"/>
    <w:rsid w:val="00080D38"/>
    <w:rsid w:val="000A1858"/>
    <w:rsid w:val="001417F5"/>
    <w:rsid w:val="00152A81"/>
    <w:rsid w:val="001F37A4"/>
    <w:rsid w:val="002015FB"/>
    <w:rsid w:val="0022563F"/>
    <w:rsid w:val="00243893"/>
    <w:rsid w:val="00265A93"/>
    <w:rsid w:val="00280D2B"/>
    <w:rsid w:val="002826E5"/>
    <w:rsid w:val="00293111"/>
    <w:rsid w:val="002C1C9B"/>
    <w:rsid w:val="002F4BDE"/>
    <w:rsid w:val="0030275F"/>
    <w:rsid w:val="003047EC"/>
    <w:rsid w:val="00317426"/>
    <w:rsid w:val="003337FC"/>
    <w:rsid w:val="00342ED8"/>
    <w:rsid w:val="0039529F"/>
    <w:rsid w:val="003F0806"/>
    <w:rsid w:val="00407BCD"/>
    <w:rsid w:val="00416649"/>
    <w:rsid w:val="00436239"/>
    <w:rsid w:val="004513C3"/>
    <w:rsid w:val="004D1B4D"/>
    <w:rsid w:val="004D1F2D"/>
    <w:rsid w:val="004E408E"/>
    <w:rsid w:val="00567A57"/>
    <w:rsid w:val="00597661"/>
    <w:rsid w:val="005A112C"/>
    <w:rsid w:val="005D6535"/>
    <w:rsid w:val="005F2029"/>
    <w:rsid w:val="00625852"/>
    <w:rsid w:val="00634068"/>
    <w:rsid w:val="00656E7D"/>
    <w:rsid w:val="00677B5C"/>
    <w:rsid w:val="006906C7"/>
    <w:rsid w:val="00690E3B"/>
    <w:rsid w:val="006A2581"/>
    <w:rsid w:val="006A4F33"/>
    <w:rsid w:val="00702C8F"/>
    <w:rsid w:val="00706E65"/>
    <w:rsid w:val="00712CB1"/>
    <w:rsid w:val="007757F4"/>
    <w:rsid w:val="00793067"/>
    <w:rsid w:val="007E17E8"/>
    <w:rsid w:val="00850419"/>
    <w:rsid w:val="00850D5D"/>
    <w:rsid w:val="00897989"/>
    <w:rsid w:val="008A77BE"/>
    <w:rsid w:val="008D4DE7"/>
    <w:rsid w:val="009100EB"/>
    <w:rsid w:val="009139EF"/>
    <w:rsid w:val="00930FFD"/>
    <w:rsid w:val="00931802"/>
    <w:rsid w:val="00997012"/>
    <w:rsid w:val="009A7DFF"/>
    <w:rsid w:val="00A30E76"/>
    <w:rsid w:val="00A32DAD"/>
    <w:rsid w:val="00A56529"/>
    <w:rsid w:val="00B0548A"/>
    <w:rsid w:val="00B27037"/>
    <w:rsid w:val="00B3078B"/>
    <w:rsid w:val="00B657FF"/>
    <w:rsid w:val="00B804DE"/>
    <w:rsid w:val="00C54502"/>
    <w:rsid w:val="00C54BEB"/>
    <w:rsid w:val="00C76005"/>
    <w:rsid w:val="00CB4BC9"/>
    <w:rsid w:val="00CB75CD"/>
    <w:rsid w:val="00CD6180"/>
    <w:rsid w:val="00CE56AA"/>
    <w:rsid w:val="00CE7B5A"/>
    <w:rsid w:val="00CF0680"/>
    <w:rsid w:val="00D11CE2"/>
    <w:rsid w:val="00D33BC2"/>
    <w:rsid w:val="00D50B2B"/>
    <w:rsid w:val="00D519B2"/>
    <w:rsid w:val="00D63C31"/>
    <w:rsid w:val="00D80837"/>
    <w:rsid w:val="00D82663"/>
    <w:rsid w:val="00DD68ED"/>
    <w:rsid w:val="00DE0095"/>
    <w:rsid w:val="00E03BCB"/>
    <w:rsid w:val="00E40FAF"/>
    <w:rsid w:val="00E61D5B"/>
    <w:rsid w:val="00EB23B2"/>
    <w:rsid w:val="00EC42D0"/>
    <w:rsid w:val="00ED2B70"/>
    <w:rsid w:val="00F1555B"/>
    <w:rsid w:val="00F424FC"/>
    <w:rsid w:val="00F50648"/>
    <w:rsid w:val="00F5152F"/>
    <w:rsid w:val="00FE5CF9"/>
    <w:rsid w:val="00FE6CF2"/>
    <w:rsid w:val="00FF6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0DB18"/>
  <w15:chartTrackingRefBased/>
  <w15:docId w15:val="{0785D618-E719-44DC-9975-51D43B95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0B1"/>
    <w:pPr>
      <w:overflowPunct w:val="0"/>
      <w:autoSpaceDE w:val="0"/>
      <w:autoSpaceDN w:val="0"/>
      <w:adjustRightInd w:val="0"/>
      <w:spacing w:after="120" w:line="240" w:lineRule="auto"/>
      <w:jc w:val="both"/>
      <w:textAlignment w:val="baseline"/>
    </w:pPr>
    <w:rPr>
      <w:rFonts w:ascii="Arial" w:eastAsia="Times New Roman" w:hAnsi="Arial" w:cs="Times New Roman"/>
      <w:kern w:val="0"/>
      <w:szCs w:val="21"/>
      <w:lang w:val="sq-AL" w:eastAsia="de-DE"/>
    </w:rPr>
  </w:style>
  <w:style w:type="paragraph" w:styleId="Heading1">
    <w:name w:val="heading 1"/>
    <w:basedOn w:val="Normal"/>
    <w:next w:val="Normal"/>
    <w:link w:val="Heading1Char"/>
    <w:uiPriority w:val="9"/>
    <w:qFormat/>
    <w:rsid w:val="008D4D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D4D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D4DE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D4DE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D4DE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D4D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4D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4D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4D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DE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D4D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D4DE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D4DE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D4DE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D4D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4D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4D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4DE7"/>
    <w:rPr>
      <w:rFonts w:eastAsiaTheme="majorEastAsia" w:cstheme="majorBidi"/>
      <w:color w:val="272727" w:themeColor="text1" w:themeTint="D8"/>
    </w:rPr>
  </w:style>
  <w:style w:type="paragraph" w:styleId="Title">
    <w:name w:val="Title"/>
    <w:basedOn w:val="Normal"/>
    <w:next w:val="Normal"/>
    <w:link w:val="TitleChar"/>
    <w:uiPriority w:val="10"/>
    <w:qFormat/>
    <w:rsid w:val="008D4D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D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4D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4D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4DE7"/>
    <w:pPr>
      <w:spacing w:before="160"/>
      <w:jc w:val="center"/>
    </w:pPr>
    <w:rPr>
      <w:i/>
      <w:iCs/>
      <w:color w:val="404040" w:themeColor="text1" w:themeTint="BF"/>
    </w:rPr>
  </w:style>
  <w:style w:type="character" w:customStyle="1" w:styleId="QuoteChar">
    <w:name w:val="Quote Char"/>
    <w:basedOn w:val="DefaultParagraphFont"/>
    <w:link w:val="Quote"/>
    <w:uiPriority w:val="29"/>
    <w:rsid w:val="008D4DE7"/>
    <w:rPr>
      <w:i/>
      <w:iCs/>
      <w:color w:val="404040" w:themeColor="text1" w:themeTint="BF"/>
    </w:rPr>
  </w:style>
  <w:style w:type="paragraph" w:styleId="ListParagraph">
    <w:name w:val="List Paragraph"/>
    <w:aliases w:val="Akapit z listą BS,List Paragraph1,Bullet1,List Paragraph (numbered (a)),Normal 1,List Paragraph 1,Bullets,NumberedParas,Lapis Bulleted List,List 100s,Citation List,Graphic,List Paragraph Char Char,Table of contents numbered,Resume Title"/>
    <w:basedOn w:val="Normal"/>
    <w:link w:val="ListParagraphChar"/>
    <w:uiPriority w:val="34"/>
    <w:qFormat/>
    <w:rsid w:val="008D4DE7"/>
    <w:pPr>
      <w:ind w:left="720"/>
      <w:contextualSpacing/>
    </w:pPr>
  </w:style>
  <w:style w:type="character" w:styleId="IntenseEmphasis">
    <w:name w:val="Intense Emphasis"/>
    <w:basedOn w:val="DefaultParagraphFont"/>
    <w:uiPriority w:val="21"/>
    <w:qFormat/>
    <w:rsid w:val="008D4DE7"/>
    <w:rPr>
      <w:i/>
      <w:iCs/>
      <w:color w:val="2F5496" w:themeColor="accent1" w:themeShade="BF"/>
    </w:rPr>
  </w:style>
  <w:style w:type="paragraph" w:styleId="IntenseQuote">
    <w:name w:val="Intense Quote"/>
    <w:basedOn w:val="Normal"/>
    <w:next w:val="Normal"/>
    <w:link w:val="IntenseQuoteChar"/>
    <w:uiPriority w:val="30"/>
    <w:qFormat/>
    <w:rsid w:val="008D4D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4DE7"/>
    <w:rPr>
      <w:i/>
      <w:iCs/>
      <w:color w:val="2F5496" w:themeColor="accent1" w:themeShade="BF"/>
    </w:rPr>
  </w:style>
  <w:style w:type="character" w:styleId="IntenseReference">
    <w:name w:val="Intense Reference"/>
    <w:basedOn w:val="DefaultParagraphFont"/>
    <w:uiPriority w:val="32"/>
    <w:qFormat/>
    <w:rsid w:val="008D4DE7"/>
    <w:rPr>
      <w:b/>
      <w:bCs/>
      <w:smallCaps/>
      <w:color w:val="2F5496" w:themeColor="accent1" w:themeShade="BF"/>
      <w:spacing w:val="5"/>
    </w:rPr>
  </w:style>
  <w:style w:type="table" w:styleId="TableGrid">
    <w:name w:val="Table Grid"/>
    <w:basedOn w:val="TableNormal"/>
    <w:uiPriority w:val="39"/>
    <w:rsid w:val="00FF6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single space,footnote text,fn,FOOTNOTES,Fußnotentext Char,ADB,Footnote text,ft,Footnote Text Char2 Char,Footnote Text Char1 Char Char,Footnote Text Char2 Char Char Char,Footno,Geneva 9,Boston 10,Font: Geneva 9,f,C,Footnote Text Char1"/>
    <w:basedOn w:val="Normal"/>
    <w:link w:val="FootnoteTextChar"/>
    <w:uiPriority w:val="99"/>
    <w:unhideWhenUsed/>
    <w:rsid w:val="00FE6CF2"/>
    <w:pPr>
      <w:spacing w:after="0"/>
    </w:pPr>
    <w:rPr>
      <w:sz w:val="20"/>
      <w:szCs w:val="20"/>
    </w:rPr>
  </w:style>
  <w:style w:type="character" w:customStyle="1" w:styleId="FootnoteTextChar">
    <w:name w:val="Footnote Text Char"/>
    <w:aliases w:val="Char Char,single space Char,footnote text Char,fn Char,FOOTNOTES Char,Fußnotentext Char Char,ADB Char,Footnote text Char,ft Char,Footnote Text Char2 Char Char,Footnote Text Char1 Char Char Char,Footnote Text Char2 Char Char Char Char"/>
    <w:basedOn w:val="DefaultParagraphFont"/>
    <w:link w:val="FootnoteText"/>
    <w:uiPriority w:val="99"/>
    <w:rsid w:val="00FE6CF2"/>
    <w:rPr>
      <w:rFonts w:ascii="Arial" w:eastAsia="Times New Roman" w:hAnsi="Arial" w:cs="Times New Roman"/>
      <w:kern w:val="0"/>
      <w:sz w:val="20"/>
      <w:szCs w:val="20"/>
      <w:lang w:val="sq-AL" w:eastAsia="de-DE"/>
    </w:rPr>
  </w:style>
  <w:style w:type="character" w:styleId="FootnoteReference">
    <w:name w:val="footnote reference"/>
    <w:aliases w:val="ftref,BVI fnr,16 Point,Superscript 6 Point,Fußnotenzeichen DISS,Footnote,Footnote symbol,Char1 Char Char Char Char, Char1 Char Char Char Char,Odwołanie przypisu,fr"/>
    <w:basedOn w:val="DefaultParagraphFont"/>
    <w:uiPriority w:val="99"/>
    <w:unhideWhenUsed/>
    <w:rsid w:val="00FE6CF2"/>
    <w:rPr>
      <w:vertAlign w:val="superscript"/>
    </w:rPr>
  </w:style>
  <w:style w:type="character" w:styleId="Hyperlink">
    <w:name w:val="Hyperlink"/>
    <w:basedOn w:val="DefaultParagraphFont"/>
    <w:uiPriority w:val="99"/>
    <w:unhideWhenUsed/>
    <w:rsid w:val="00A32DAD"/>
    <w:rPr>
      <w:color w:val="0563C1" w:themeColor="hyperlink"/>
      <w:u w:val="single"/>
    </w:rPr>
  </w:style>
  <w:style w:type="character" w:styleId="UnresolvedMention">
    <w:name w:val="Unresolved Mention"/>
    <w:basedOn w:val="DefaultParagraphFont"/>
    <w:uiPriority w:val="99"/>
    <w:semiHidden/>
    <w:unhideWhenUsed/>
    <w:rsid w:val="00A32DAD"/>
    <w:rPr>
      <w:color w:val="605E5C"/>
      <w:shd w:val="clear" w:color="auto" w:fill="E1DFDD"/>
    </w:rPr>
  </w:style>
  <w:style w:type="table" w:styleId="TableGridLight">
    <w:name w:val="Grid Table Light"/>
    <w:basedOn w:val="TableNormal"/>
    <w:uiPriority w:val="40"/>
    <w:rsid w:val="0030275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4D1B4D"/>
    <w:pPr>
      <w:tabs>
        <w:tab w:val="center" w:pos="4680"/>
        <w:tab w:val="right" w:pos="9360"/>
      </w:tabs>
      <w:spacing w:after="0"/>
    </w:pPr>
  </w:style>
  <w:style w:type="character" w:customStyle="1" w:styleId="HeaderChar">
    <w:name w:val="Header Char"/>
    <w:basedOn w:val="DefaultParagraphFont"/>
    <w:link w:val="Header"/>
    <w:uiPriority w:val="99"/>
    <w:rsid w:val="004D1B4D"/>
    <w:rPr>
      <w:rFonts w:ascii="Arial" w:eastAsia="Times New Roman" w:hAnsi="Arial" w:cs="Times New Roman"/>
      <w:kern w:val="0"/>
      <w:szCs w:val="21"/>
      <w:lang w:val="sq-AL" w:eastAsia="de-DE"/>
    </w:rPr>
  </w:style>
  <w:style w:type="paragraph" w:styleId="Footer">
    <w:name w:val="footer"/>
    <w:basedOn w:val="Normal"/>
    <w:link w:val="FooterChar"/>
    <w:uiPriority w:val="99"/>
    <w:unhideWhenUsed/>
    <w:rsid w:val="004D1B4D"/>
    <w:pPr>
      <w:tabs>
        <w:tab w:val="center" w:pos="4680"/>
        <w:tab w:val="right" w:pos="9360"/>
      </w:tabs>
      <w:spacing w:after="0"/>
    </w:pPr>
  </w:style>
  <w:style w:type="character" w:customStyle="1" w:styleId="FooterChar">
    <w:name w:val="Footer Char"/>
    <w:basedOn w:val="DefaultParagraphFont"/>
    <w:link w:val="Footer"/>
    <w:uiPriority w:val="99"/>
    <w:rsid w:val="004D1B4D"/>
    <w:rPr>
      <w:rFonts w:ascii="Arial" w:eastAsia="Times New Roman" w:hAnsi="Arial" w:cs="Times New Roman"/>
      <w:kern w:val="0"/>
      <w:szCs w:val="21"/>
      <w:lang w:val="sq-AL" w:eastAsia="de-DE"/>
    </w:rPr>
  </w:style>
  <w:style w:type="character" w:styleId="FollowedHyperlink">
    <w:name w:val="FollowedHyperlink"/>
    <w:basedOn w:val="DefaultParagraphFont"/>
    <w:uiPriority w:val="99"/>
    <w:semiHidden/>
    <w:unhideWhenUsed/>
    <w:rsid w:val="002826E5"/>
    <w:rPr>
      <w:color w:val="954F72" w:themeColor="followedHyperlink"/>
      <w:u w:val="single"/>
    </w:rPr>
  </w:style>
  <w:style w:type="paragraph" w:styleId="Revision">
    <w:name w:val="Revision"/>
    <w:hidden/>
    <w:uiPriority w:val="99"/>
    <w:semiHidden/>
    <w:rsid w:val="00342ED8"/>
    <w:pPr>
      <w:spacing w:after="0" w:line="240" w:lineRule="auto"/>
    </w:pPr>
    <w:rPr>
      <w:rFonts w:ascii="Arial" w:eastAsia="Times New Roman" w:hAnsi="Arial" w:cs="Times New Roman"/>
      <w:kern w:val="0"/>
      <w:szCs w:val="21"/>
      <w:lang w:val="sq-AL" w:eastAsia="de-DE"/>
    </w:rPr>
  </w:style>
  <w:style w:type="paragraph" w:styleId="NormalWeb">
    <w:name w:val="Normal (Web)"/>
    <w:basedOn w:val="Normal"/>
    <w:uiPriority w:val="99"/>
    <w:unhideWhenUsed/>
    <w:rsid w:val="002C1C9B"/>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14:ligatures w14:val="none"/>
    </w:rPr>
  </w:style>
  <w:style w:type="character" w:styleId="Emphasis">
    <w:name w:val="Emphasis"/>
    <w:basedOn w:val="DefaultParagraphFont"/>
    <w:uiPriority w:val="20"/>
    <w:qFormat/>
    <w:rsid w:val="002F4BDE"/>
    <w:rPr>
      <w:i/>
      <w:iCs/>
    </w:rPr>
  </w:style>
  <w:style w:type="paragraph" w:styleId="NoSpacing">
    <w:name w:val="No Spacing"/>
    <w:link w:val="NoSpacingChar"/>
    <w:uiPriority w:val="1"/>
    <w:qFormat/>
    <w:rsid w:val="00567A57"/>
    <w:pPr>
      <w:spacing w:after="0" w:line="240" w:lineRule="auto"/>
      <w:jc w:val="both"/>
    </w:pPr>
    <w:rPr>
      <w:rFonts w:ascii="Aptos" w:eastAsia="Times New Roman" w:hAnsi="Aptos" w:cs="Open Sans"/>
      <w:color w:val="000000"/>
      <w:kern w:val="0"/>
      <w:lang w:eastAsia="en-GB"/>
      <w14:ligatures w14:val="none"/>
    </w:rPr>
  </w:style>
  <w:style w:type="character" w:customStyle="1" w:styleId="NoSpacingChar">
    <w:name w:val="No Spacing Char"/>
    <w:basedOn w:val="DefaultParagraphFont"/>
    <w:link w:val="NoSpacing"/>
    <w:uiPriority w:val="1"/>
    <w:rsid w:val="007757F4"/>
    <w:rPr>
      <w:rFonts w:ascii="Aptos" w:eastAsia="Times New Roman" w:hAnsi="Aptos" w:cs="Open Sans"/>
      <w:color w:val="000000"/>
      <w:kern w:val="0"/>
      <w:lang w:eastAsia="en-GB"/>
      <w14:ligatures w14:val="none"/>
    </w:rPr>
  </w:style>
  <w:style w:type="character" w:styleId="Strong">
    <w:name w:val="Strong"/>
    <w:basedOn w:val="DefaultParagraphFont"/>
    <w:uiPriority w:val="22"/>
    <w:qFormat/>
    <w:rsid w:val="00930FFD"/>
    <w:rPr>
      <w:b/>
      <w:bCs/>
    </w:rPr>
  </w:style>
  <w:style w:type="character" w:customStyle="1" w:styleId="ListParagraphChar">
    <w:name w:val="List Paragraph Char"/>
    <w:aliases w:val="Akapit z listą BS Char,List Paragraph1 Char,Bullet1 Char,List Paragraph (numbered (a)) Char,Normal 1 Char,List Paragraph 1 Char,Bullets Char,NumberedParas Char,Lapis Bulleted List Char,List 100s Char,Citation List Char,Graphic Char"/>
    <w:basedOn w:val="DefaultParagraphFont"/>
    <w:link w:val="ListParagraph"/>
    <w:uiPriority w:val="34"/>
    <w:qFormat/>
    <w:locked/>
    <w:rsid w:val="00930FFD"/>
    <w:rPr>
      <w:rFonts w:ascii="Arial" w:eastAsia="Times New Roman" w:hAnsi="Arial" w:cs="Times New Roman"/>
      <w:kern w:val="0"/>
      <w:szCs w:val="21"/>
      <w:lang w:val="sq-AL"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25502">
      <w:bodyDiv w:val="1"/>
      <w:marLeft w:val="0"/>
      <w:marRight w:val="0"/>
      <w:marTop w:val="0"/>
      <w:marBottom w:val="0"/>
      <w:divBdr>
        <w:top w:val="none" w:sz="0" w:space="0" w:color="auto"/>
        <w:left w:val="none" w:sz="0" w:space="0" w:color="auto"/>
        <w:bottom w:val="none" w:sz="0" w:space="0" w:color="auto"/>
        <w:right w:val="none" w:sz="0" w:space="0" w:color="auto"/>
      </w:divBdr>
    </w:div>
    <w:div w:id="179852830">
      <w:bodyDiv w:val="1"/>
      <w:marLeft w:val="0"/>
      <w:marRight w:val="0"/>
      <w:marTop w:val="0"/>
      <w:marBottom w:val="0"/>
      <w:divBdr>
        <w:top w:val="none" w:sz="0" w:space="0" w:color="auto"/>
        <w:left w:val="none" w:sz="0" w:space="0" w:color="auto"/>
        <w:bottom w:val="none" w:sz="0" w:space="0" w:color="auto"/>
        <w:right w:val="none" w:sz="0" w:space="0" w:color="auto"/>
      </w:divBdr>
    </w:div>
    <w:div w:id="385372844">
      <w:bodyDiv w:val="1"/>
      <w:marLeft w:val="0"/>
      <w:marRight w:val="0"/>
      <w:marTop w:val="0"/>
      <w:marBottom w:val="0"/>
      <w:divBdr>
        <w:top w:val="none" w:sz="0" w:space="0" w:color="auto"/>
        <w:left w:val="none" w:sz="0" w:space="0" w:color="auto"/>
        <w:bottom w:val="none" w:sz="0" w:space="0" w:color="auto"/>
        <w:right w:val="none" w:sz="0" w:space="0" w:color="auto"/>
      </w:divBdr>
    </w:div>
    <w:div w:id="402528676">
      <w:bodyDiv w:val="1"/>
      <w:marLeft w:val="0"/>
      <w:marRight w:val="0"/>
      <w:marTop w:val="0"/>
      <w:marBottom w:val="0"/>
      <w:divBdr>
        <w:top w:val="none" w:sz="0" w:space="0" w:color="auto"/>
        <w:left w:val="none" w:sz="0" w:space="0" w:color="auto"/>
        <w:bottom w:val="none" w:sz="0" w:space="0" w:color="auto"/>
        <w:right w:val="none" w:sz="0" w:space="0" w:color="auto"/>
      </w:divBdr>
    </w:div>
    <w:div w:id="430979687">
      <w:bodyDiv w:val="1"/>
      <w:marLeft w:val="0"/>
      <w:marRight w:val="0"/>
      <w:marTop w:val="0"/>
      <w:marBottom w:val="0"/>
      <w:divBdr>
        <w:top w:val="none" w:sz="0" w:space="0" w:color="auto"/>
        <w:left w:val="none" w:sz="0" w:space="0" w:color="auto"/>
        <w:bottom w:val="none" w:sz="0" w:space="0" w:color="auto"/>
        <w:right w:val="none" w:sz="0" w:space="0" w:color="auto"/>
      </w:divBdr>
    </w:div>
    <w:div w:id="471559270">
      <w:bodyDiv w:val="1"/>
      <w:marLeft w:val="0"/>
      <w:marRight w:val="0"/>
      <w:marTop w:val="0"/>
      <w:marBottom w:val="0"/>
      <w:divBdr>
        <w:top w:val="none" w:sz="0" w:space="0" w:color="auto"/>
        <w:left w:val="none" w:sz="0" w:space="0" w:color="auto"/>
        <w:bottom w:val="none" w:sz="0" w:space="0" w:color="auto"/>
        <w:right w:val="none" w:sz="0" w:space="0" w:color="auto"/>
      </w:divBdr>
    </w:div>
    <w:div w:id="544219480">
      <w:bodyDiv w:val="1"/>
      <w:marLeft w:val="0"/>
      <w:marRight w:val="0"/>
      <w:marTop w:val="0"/>
      <w:marBottom w:val="0"/>
      <w:divBdr>
        <w:top w:val="none" w:sz="0" w:space="0" w:color="auto"/>
        <w:left w:val="none" w:sz="0" w:space="0" w:color="auto"/>
        <w:bottom w:val="none" w:sz="0" w:space="0" w:color="auto"/>
        <w:right w:val="none" w:sz="0" w:space="0" w:color="auto"/>
      </w:divBdr>
    </w:div>
    <w:div w:id="623578356">
      <w:bodyDiv w:val="1"/>
      <w:marLeft w:val="0"/>
      <w:marRight w:val="0"/>
      <w:marTop w:val="0"/>
      <w:marBottom w:val="0"/>
      <w:divBdr>
        <w:top w:val="none" w:sz="0" w:space="0" w:color="auto"/>
        <w:left w:val="none" w:sz="0" w:space="0" w:color="auto"/>
        <w:bottom w:val="none" w:sz="0" w:space="0" w:color="auto"/>
        <w:right w:val="none" w:sz="0" w:space="0" w:color="auto"/>
      </w:divBdr>
    </w:div>
    <w:div w:id="639577820">
      <w:bodyDiv w:val="1"/>
      <w:marLeft w:val="0"/>
      <w:marRight w:val="0"/>
      <w:marTop w:val="0"/>
      <w:marBottom w:val="0"/>
      <w:divBdr>
        <w:top w:val="none" w:sz="0" w:space="0" w:color="auto"/>
        <w:left w:val="none" w:sz="0" w:space="0" w:color="auto"/>
        <w:bottom w:val="none" w:sz="0" w:space="0" w:color="auto"/>
        <w:right w:val="none" w:sz="0" w:space="0" w:color="auto"/>
      </w:divBdr>
    </w:div>
    <w:div w:id="986780858">
      <w:bodyDiv w:val="1"/>
      <w:marLeft w:val="0"/>
      <w:marRight w:val="0"/>
      <w:marTop w:val="0"/>
      <w:marBottom w:val="0"/>
      <w:divBdr>
        <w:top w:val="none" w:sz="0" w:space="0" w:color="auto"/>
        <w:left w:val="none" w:sz="0" w:space="0" w:color="auto"/>
        <w:bottom w:val="none" w:sz="0" w:space="0" w:color="auto"/>
        <w:right w:val="none" w:sz="0" w:space="0" w:color="auto"/>
      </w:divBdr>
    </w:div>
    <w:div w:id="1116408867">
      <w:bodyDiv w:val="1"/>
      <w:marLeft w:val="0"/>
      <w:marRight w:val="0"/>
      <w:marTop w:val="0"/>
      <w:marBottom w:val="0"/>
      <w:divBdr>
        <w:top w:val="none" w:sz="0" w:space="0" w:color="auto"/>
        <w:left w:val="none" w:sz="0" w:space="0" w:color="auto"/>
        <w:bottom w:val="none" w:sz="0" w:space="0" w:color="auto"/>
        <w:right w:val="none" w:sz="0" w:space="0" w:color="auto"/>
      </w:divBdr>
    </w:div>
    <w:div w:id="1273590044">
      <w:bodyDiv w:val="1"/>
      <w:marLeft w:val="0"/>
      <w:marRight w:val="0"/>
      <w:marTop w:val="0"/>
      <w:marBottom w:val="0"/>
      <w:divBdr>
        <w:top w:val="none" w:sz="0" w:space="0" w:color="auto"/>
        <w:left w:val="none" w:sz="0" w:space="0" w:color="auto"/>
        <w:bottom w:val="none" w:sz="0" w:space="0" w:color="auto"/>
        <w:right w:val="none" w:sz="0" w:space="0" w:color="auto"/>
      </w:divBdr>
    </w:div>
    <w:div w:id="1312171519">
      <w:bodyDiv w:val="1"/>
      <w:marLeft w:val="0"/>
      <w:marRight w:val="0"/>
      <w:marTop w:val="0"/>
      <w:marBottom w:val="0"/>
      <w:divBdr>
        <w:top w:val="none" w:sz="0" w:space="0" w:color="auto"/>
        <w:left w:val="none" w:sz="0" w:space="0" w:color="auto"/>
        <w:bottom w:val="none" w:sz="0" w:space="0" w:color="auto"/>
        <w:right w:val="none" w:sz="0" w:space="0" w:color="auto"/>
      </w:divBdr>
    </w:div>
    <w:div w:id="1426876719">
      <w:bodyDiv w:val="1"/>
      <w:marLeft w:val="0"/>
      <w:marRight w:val="0"/>
      <w:marTop w:val="0"/>
      <w:marBottom w:val="0"/>
      <w:divBdr>
        <w:top w:val="none" w:sz="0" w:space="0" w:color="auto"/>
        <w:left w:val="none" w:sz="0" w:space="0" w:color="auto"/>
        <w:bottom w:val="none" w:sz="0" w:space="0" w:color="auto"/>
        <w:right w:val="none" w:sz="0" w:space="0" w:color="auto"/>
      </w:divBdr>
    </w:div>
    <w:div w:id="1480224606">
      <w:bodyDiv w:val="1"/>
      <w:marLeft w:val="0"/>
      <w:marRight w:val="0"/>
      <w:marTop w:val="0"/>
      <w:marBottom w:val="0"/>
      <w:divBdr>
        <w:top w:val="none" w:sz="0" w:space="0" w:color="auto"/>
        <w:left w:val="none" w:sz="0" w:space="0" w:color="auto"/>
        <w:bottom w:val="none" w:sz="0" w:space="0" w:color="auto"/>
        <w:right w:val="none" w:sz="0" w:space="0" w:color="auto"/>
      </w:divBdr>
    </w:div>
    <w:div w:id="1544439279">
      <w:bodyDiv w:val="1"/>
      <w:marLeft w:val="0"/>
      <w:marRight w:val="0"/>
      <w:marTop w:val="0"/>
      <w:marBottom w:val="0"/>
      <w:divBdr>
        <w:top w:val="none" w:sz="0" w:space="0" w:color="auto"/>
        <w:left w:val="none" w:sz="0" w:space="0" w:color="auto"/>
        <w:bottom w:val="none" w:sz="0" w:space="0" w:color="auto"/>
        <w:right w:val="none" w:sz="0" w:space="0" w:color="auto"/>
      </w:divBdr>
    </w:div>
    <w:div w:id="1576666966">
      <w:bodyDiv w:val="1"/>
      <w:marLeft w:val="0"/>
      <w:marRight w:val="0"/>
      <w:marTop w:val="0"/>
      <w:marBottom w:val="0"/>
      <w:divBdr>
        <w:top w:val="none" w:sz="0" w:space="0" w:color="auto"/>
        <w:left w:val="none" w:sz="0" w:space="0" w:color="auto"/>
        <w:bottom w:val="none" w:sz="0" w:space="0" w:color="auto"/>
        <w:right w:val="none" w:sz="0" w:space="0" w:color="auto"/>
      </w:divBdr>
    </w:div>
    <w:div w:id="1647389629">
      <w:bodyDiv w:val="1"/>
      <w:marLeft w:val="0"/>
      <w:marRight w:val="0"/>
      <w:marTop w:val="0"/>
      <w:marBottom w:val="0"/>
      <w:divBdr>
        <w:top w:val="none" w:sz="0" w:space="0" w:color="auto"/>
        <w:left w:val="none" w:sz="0" w:space="0" w:color="auto"/>
        <w:bottom w:val="none" w:sz="0" w:space="0" w:color="auto"/>
        <w:right w:val="none" w:sz="0" w:space="0" w:color="auto"/>
      </w:divBdr>
    </w:div>
    <w:div w:id="1683967850">
      <w:bodyDiv w:val="1"/>
      <w:marLeft w:val="0"/>
      <w:marRight w:val="0"/>
      <w:marTop w:val="0"/>
      <w:marBottom w:val="0"/>
      <w:divBdr>
        <w:top w:val="none" w:sz="0" w:space="0" w:color="auto"/>
        <w:left w:val="none" w:sz="0" w:space="0" w:color="auto"/>
        <w:bottom w:val="none" w:sz="0" w:space="0" w:color="auto"/>
        <w:right w:val="none" w:sz="0" w:space="0" w:color="auto"/>
      </w:divBdr>
    </w:div>
    <w:div w:id="1815294164">
      <w:bodyDiv w:val="1"/>
      <w:marLeft w:val="0"/>
      <w:marRight w:val="0"/>
      <w:marTop w:val="0"/>
      <w:marBottom w:val="0"/>
      <w:divBdr>
        <w:top w:val="none" w:sz="0" w:space="0" w:color="auto"/>
        <w:left w:val="none" w:sz="0" w:space="0" w:color="auto"/>
        <w:bottom w:val="none" w:sz="0" w:space="0" w:color="auto"/>
        <w:right w:val="none" w:sz="0" w:space="0" w:color="auto"/>
      </w:divBdr>
    </w:div>
    <w:div w:id="1832718899">
      <w:bodyDiv w:val="1"/>
      <w:marLeft w:val="0"/>
      <w:marRight w:val="0"/>
      <w:marTop w:val="0"/>
      <w:marBottom w:val="0"/>
      <w:divBdr>
        <w:top w:val="none" w:sz="0" w:space="0" w:color="auto"/>
        <w:left w:val="none" w:sz="0" w:space="0" w:color="auto"/>
        <w:bottom w:val="none" w:sz="0" w:space="0" w:color="auto"/>
        <w:right w:val="none" w:sz="0" w:space="0" w:color="auto"/>
      </w:divBdr>
    </w:div>
    <w:div w:id="1863326101">
      <w:bodyDiv w:val="1"/>
      <w:marLeft w:val="0"/>
      <w:marRight w:val="0"/>
      <w:marTop w:val="0"/>
      <w:marBottom w:val="0"/>
      <w:divBdr>
        <w:top w:val="none" w:sz="0" w:space="0" w:color="auto"/>
        <w:left w:val="none" w:sz="0" w:space="0" w:color="auto"/>
        <w:bottom w:val="none" w:sz="0" w:space="0" w:color="auto"/>
        <w:right w:val="none" w:sz="0" w:space="0" w:color="auto"/>
      </w:divBdr>
    </w:div>
    <w:div w:id="199846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vendiwebfiles.blob.core.windows.net/webfiles/RregullorjaeKuvenditeperditesuar.pdf" TargetMode="External"/><Relationship Id="rId13" Type="http://schemas.openxmlformats.org/officeDocument/2006/relationships/hyperlink" Target="https://committees.parliament.uk/committee/326/petitions-committee/rol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mittees.parliament.uk/committee/326/petitions-committee/news/99341/committee-opens-consultation-on-its-working-method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tg-bestellservice.de/pdf/80201000.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btg-bestellservice.de/pdf/80201000.pdf" TargetMode="External"/><Relationship Id="rId4" Type="http://schemas.openxmlformats.org/officeDocument/2006/relationships/settings" Target="settings.xml"/><Relationship Id="rId9" Type="http://schemas.openxmlformats.org/officeDocument/2006/relationships/hyperlink" Target="https://www.btg-bestellservice.de/ebook/80060000.epub" TargetMode="External"/><Relationship Id="rId14" Type="http://schemas.openxmlformats.org/officeDocument/2006/relationships/hyperlink" Target="https://www.parliament.uk/about/how/committees/selec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2" Type="http://schemas.openxmlformats.org/officeDocument/2006/relationships/hyperlink" Target="https://www.europarl.europa.eu/at-your-service/en/be-heard/petitions" TargetMode="External"/><Relationship Id="rId1" Type="http://schemas.openxmlformats.org/officeDocument/2006/relationships/hyperlink" Target="https://www.parliament.scot/chamber-and-committees/committees/current-and-previous-committees/session-6-citizen-participation-and-public-petitions-committ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C5688-0ED1-4CA4-8D81-E82C07517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4275</Words>
  <Characters>24497</Characters>
  <Application>Microsoft Office Word</Application>
  <DocSecurity>0</DocSecurity>
  <Lines>462</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Azizaj</dc:creator>
  <cp:keywords/>
  <dc:description/>
  <cp:lastModifiedBy>bkuci</cp:lastModifiedBy>
  <cp:revision>2</cp:revision>
  <cp:lastPrinted>2025-01-15T08:50:00Z</cp:lastPrinted>
  <dcterms:created xsi:type="dcterms:W3CDTF">2025-03-18T13:09:00Z</dcterms:created>
  <dcterms:modified xsi:type="dcterms:W3CDTF">2025-03-18T13:09:00Z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32c26408a7f3a3fc818ce4589dd631880ec7a452aaf94905d7f105751a0f308f</vt:lpwstr>
  </property>
</Properties>
</file>