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EA" w:rsidRDefault="00FA5E5E" w:rsidP="00FD17C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5" style="position:absolute;left:0;text-align:left;margin-left:0;margin-top:-43.3pt;width:187.5pt;height:84.75pt;z-index:251658240;mso-position-horizontal:center" coordorigin="4245,3289" coordsize="3750,1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659;top:3289;width:923;height:120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245;top:4408;width:3750;height:576" filled="f" stroked="f">
              <v:textbox style="mso-next-textbox:#_x0000_s1037">
                <w:txbxContent>
                  <w:p w:rsidR="0010442E" w:rsidRPr="0010442E" w:rsidRDefault="0010442E" w:rsidP="0010442E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  <w:lang w:val="sq-AL"/>
                      </w:rPr>
                    </w:pPr>
                    <w:r w:rsidRPr="0010442E">
                      <w:rPr>
                        <w:rFonts w:ascii="Arial" w:hAnsi="Arial" w:cs="Arial"/>
                        <w:sz w:val="16"/>
                        <w:szCs w:val="20"/>
                        <w:lang w:val="sq-AL"/>
                      </w:rPr>
                      <w:t>Instituti për Demokraci dhe Ndërmjetësim</w:t>
                    </w:r>
                  </w:p>
                  <w:p w:rsidR="0010442E" w:rsidRPr="0010442E" w:rsidRDefault="0010442E" w:rsidP="0010442E">
                    <w:pPr>
                      <w:jc w:val="center"/>
                      <w:rPr>
                        <w:sz w:val="20"/>
                        <w:szCs w:val="20"/>
                        <w:lang w:val="sq-AL"/>
                      </w:rPr>
                    </w:pPr>
                  </w:p>
                </w:txbxContent>
              </v:textbox>
            </v:shape>
          </v:group>
        </w:pict>
      </w:r>
    </w:p>
    <w:p w:rsidR="00F52FEA" w:rsidRPr="000B45D7" w:rsidRDefault="00F52FEA" w:rsidP="00F52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sq-AL"/>
        </w:rPr>
      </w:pPr>
      <w:r w:rsidRPr="000B45D7">
        <w:rPr>
          <w:rFonts w:ascii="Arial" w:hAnsi="Arial" w:cs="Arial"/>
          <w:sz w:val="16"/>
          <w:szCs w:val="16"/>
          <w:lang w:val="sq-AL"/>
        </w:rPr>
        <w:t xml:space="preserve">Rruga 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Shenasi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 xml:space="preserve"> Dishnica 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Nr.37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 xml:space="preserve">, 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P.O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 xml:space="preserve">. 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Box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 xml:space="preserve"> 8177, Tirana, 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Albania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>,</w:t>
      </w:r>
    </w:p>
    <w:p w:rsidR="00F52FEA" w:rsidRPr="000B45D7" w:rsidRDefault="00F52FEA" w:rsidP="00F52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sq-AL"/>
        </w:rPr>
      </w:pPr>
      <w:r w:rsidRPr="000B45D7">
        <w:rPr>
          <w:rFonts w:ascii="Arial" w:hAnsi="Arial" w:cs="Arial"/>
          <w:sz w:val="16"/>
          <w:szCs w:val="16"/>
          <w:lang w:val="sq-AL"/>
        </w:rPr>
        <w:t>Tel: +355 4 2400241, Tel/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Fax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>: +355 4 2400640</w:t>
      </w:r>
    </w:p>
    <w:p w:rsidR="00F52FEA" w:rsidRPr="000B45D7" w:rsidRDefault="00F52FEA" w:rsidP="00F52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sq-AL"/>
        </w:rPr>
      </w:pPr>
      <w:r w:rsidRPr="000B45D7">
        <w:rPr>
          <w:rFonts w:ascii="Arial" w:hAnsi="Arial" w:cs="Arial"/>
          <w:sz w:val="16"/>
          <w:szCs w:val="16"/>
          <w:lang w:val="sq-AL"/>
        </w:rPr>
        <w:t>E-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mail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>: info@idmalbania.org</w:t>
      </w:r>
    </w:p>
    <w:p w:rsidR="00F52FEA" w:rsidRPr="000B45D7" w:rsidRDefault="00F52FEA" w:rsidP="00F52FEA">
      <w:pPr>
        <w:spacing w:after="0" w:line="240" w:lineRule="auto"/>
        <w:jc w:val="center"/>
        <w:outlineLvl w:val="0"/>
        <w:rPr>
          <w:b/>
          <w:lang w:val="en-GB"/>
        </w:rPr>
      </w:pP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Website</w:t>
      </w:r>
      <w:proofErr w:type="spellEnd"/>
      <w:r w:rsidRPr="000B45D7">
        <w:rPr>
          <w:rFonts w:ascii="Arial" w:hAnsi="Arial" w:cs="Arial"/>
          <w:sz w:val="16"/>
          <w:szCs w:val="16"/>
          <w:lang w:val="sq-AL"/>
        </w:rPr>
        <w:t xml:space="preserve">: </w:t>
      </w:r>
      <w:proofErr w:type="spellStart"/>
      <w:r w:rsidRPr="000B45D7">
        <w:rPr>
          <w:rFonts w:ascii="Arial" w:hAnsi="Arial" w:cs="Arial"/>
          <w:sz w:val="16"/>
          <w:szCs w:val="16"/>
          <w:lang w:val="sq-AL"/>
        </w:rPr>
        <w:t>www.idmalbania</w:t>
      </w:r>
      <w:proofErr w:type="spellEnd"/>
    </w:p>
    <w:p w:rsidR="00F52FEA" w:rsidRDefault="00F52FEA" w:rsidP="00FD17C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:rsidR="00445C22" w:rsidRPr="00FD17C3" w:rsidRDefault="003A2679" w:rsidP="00FD17C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0442E">
        <w:rPr>
          <w:rFonts w:ascii="Times New Roman" w:hAnsi="Times New Roman" w:cs="Times New Roman"/>
          <w:b/>
          <w:sz w:val="24"/>
          <w:szCs w:val="24"/>
          <w:lang w:val="sq-AL"/>
        </w:rPr>
        <w:t>Rritja e kapaciteteve mbikëqyrëse e kontrolluese të Legjislativit ndaj Sektorit të Sigurisë në</w:t>
      </w:r>
      <w:r w:rsidR="0010442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10442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Shqipëri</w:t>
      </w:r>
    </w:p>
    <w:p w:rsidR="003A2679" w:rsidRPr="00FD17C3" w:rsidRDefault="003A2679" w:rsidP="0010442E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(Raport përmbledhës)</w:t>
      </w:r>
    </w:p>
    <w:p w:rsidR="003A2679" w:rsidRPr="00FD17C3" w:rsidRDefault="003A2679" w:rsidP="00FD17C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7096D" w:rsidRPr="00FD17C3" w:rsidRDefault="00F7096D" w:rsidP="00FD17C3">
      <w:pPr>
        <w:spacing w:before="120" w:after="0" w:line="36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Hyrje </w:t>
      </w:r>
    </w:p>
    <w:p w:rsidR="003E03A0" w:rsidRPr="00FD17C3" w:rsidRDefault="00BF3B54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Raporti vijues </w:t>
      </w:r>
      <w:r w:rsidR="005E2C5E" w:rsidRPr="00FD17C3">
        <w:rPr>
          <w:rFonts w:ascii="Times New Roman" w:hAnsi="Times New Roman" w:cs="Times New Roman"/>
          <w:sz w:val="24"/>
          <w:szCs w:val="24"/>
          <w:lang w:val="sq-AL"/>
        </w:rPr>
        <w:t>finalizon punën e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përbashkë</w:t>
      </w:r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midis Institutit për Demokraci e Ndërmjetësim (IDM) Komisioni</w:t>
      </w:r>
      <w:r w:rsidR="005E2C5E" w:rsidRPr="00FD17C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Parlamentar të Sigurisë Kombëtare (KPSK) dhe Qendrë</w:t>
      </w:r>
      <w:r w:rsidR="005E2C5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s së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Gjenevës për Kontrollin Demokratik të Forcave të Armatosura (DCAF)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në një projekt njëvjeçar që synonte </w:t>
      </w:r>
      <w:r w:rsidR="00B35FE3" w:rsidRPr="00955D25">
        <w:rPr>
          <w:rFonts w:ascii="Times New Roman" w:hAnsi="Times New Roman" w:cs="Times New Roman"/>
          <w:sz w:val="24"/>
          <w:szCs w:val="24"/>
          <w:lang w:val="sq-AL"/>
        </w:rPr>
        <w:t xml:space="preserve">rritjen </w:t>
      </w:r>
      <w:r w:rsidR="005E2C5E" w:rsidRPr="00955D25">
        <w:rPr>
          <w:rFonts w:ascii="Times New Roman" w:hAnsi="Times New Roman" w:cs="Times New Roman"/>
          <w:sz w:val="24"/>
          <w:szCs w:val="24"/>
          <w:lang w:val="sq-AL"/>
        </w:rPr>
        <w:t>e kapaciteteve të KPSK, për ushtrimin e funksionit të tij legjislativ, mbikëqyrës e kontrollues ndaj sektorit të sigurisë në Shqipëri.</w:t>
      </w:r>
      <w:r w:rsidR="005E2C5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21A1C" w:rsidRPr="00FD17C3" w:rsidRDefault="003C0FA7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më se një dekadë, </w:t>
      </w:r>
      <w:r w:rsidR="00F7096D" w:rsidRPr="00FD17C3">
        <w:rPr>
          <w:rFonts w:ascii="Times New Roman" w:hAnsi="Times New Roman" w:cs="Times New Roman"/>
          <w:sz w:val="24"/>
          <w:szCs w:val="24"/>
          <w:lang w:val="sq-AL"/>
        </w:rPr>
        <w:t>IDM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ka konsoliduar pozicionin e vet për studime në fushën e sigurisë. Mbështetur në </w:t>
      </w:r>
      <w:r w:rsidR="00B96A9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punën e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një numr</w:t>
      </w:r>
      <w:r w:rsidR="00B96A99" w:rsidRPr="00FD17C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studiuesish me autoritet në këtë fushë, pjesë e stafit të IDM apo bashkëpunëtorë të jashtëm,  në bashkëpunimin me organizata rajonale e evropiane simotra, në një partneritet në rritje me institucionet e sigurisë të vendit dhe Kuvendin e Shqipërisë, 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>gjatë kësaj periudhe</w:t>
      </w:r>
      <w:r w:rsidR="00955D2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IDM ka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ndërmarrë disa studime me vlerë të cilat kanë kontribuuar në ecurinë e reformave e këtyre institucioneve dhe në cilësinë e një numri dokumentesh të natyrës strategjike të prodhuara prej tyre. 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këtë kuadër 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>IDM ka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>realizuar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studimet për mbikëqyrjen e sektorit të sigurisë prej Legjislativit, Ekzekutivit, Gjyqësorit, 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>prezantuar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në fillim të këtij viti, raportet vjetore të monitorimit të mbledhjeve të Komisionit të Sigurisë dhe atij të Integrimit (periudha 2011-2013) </w:t>
      </w:r>
      <w:r w:rsidR="00955D25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dhënë 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>ekspertiz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disa projekt-ligje për sektorin e mbrojtjes, të policisë së shtetit, shërbimin informativ ushtarak, 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221A1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kompanitë private të sigurisë, etj. </w:t>
      </w:r>
    </w:p>
    <w:p w:rsidR="003145AA" w:rsidRPr="00FD17C3" w:rsidRDefault="00221A1C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Zgjedhjet parlamentare të vitit të kaluar, krahas rotacionit të pushtetit, patën si veçori një ndryshim të konsiderueshëm të përbërjes së Parlamentit dhe gjithashtu të Komisionit 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Parlamentar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të Sigurisë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Kombëtare (KPSK)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. Aktualisht, nga 2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anëtarë të këtij Komisioni, 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anëtarë, ose 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44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>% e tyre janë deputetë të rinj, pa një përvojë të mëparshme parlamentare. 1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anëtarë të Komisionit të Sigurisë, ose 6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>% e tyre, marrin pjesë në këtë Komision për herë të parë. 11 anëtarë të Komisionit, ose 4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janë juristë, 6 anëtarë, ose 2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% vijnë nga institucionet e sigurisë (mbrojtje, rendi, shërbim informativ) 2 anëtarë, ose 8% kanë formim nga shkencat politike/filozofi, ndërsa 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anëtar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ë, ose 16% janë 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>ekonomist</w:t>
      </w:r>
      <w:r w:rsidR="007062D4" w:rsidRPr="00FD17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45A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D41A69" w:rsidRPr="00FD17C3" w:rsidRDefault="00D41A69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Nisur nga sa më sipër, midis 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>KPSK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IDM u gjet mirëkuptimi i plotë për një seri takimesh të përbashkëta, ku </w:t>
      </w:r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mënyrë të hapur e </w:t>
      </w:r>
      <w:proofErr w:type="spellStart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>informale</w:t>
      </w:r>
      <w:proofErr w:type="spellEnd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të shkëmbeheshin mendime për çështje të rëndësishme të sigurisë, pjesë e agjendës së punës të Komisionit. Në mënyrë të veçantë, drejtuesit e këtij Komisioni, zotërinjtë Spartak </w:t>
      </w:r>
      <w:proofErr w:type="spellStart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>Braho</w:t>
      </w:r>
      <w:proofErr w:type="spellEnd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e Flamur </w:t>
      </w:r>
      <w:proofErr w:type="spellStart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>Noka</w:t>
      </w:r>
      <w:proofErr w:type="spellEnd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përkatësisht si Kryetar e Nënkryetar, por edhe Zoti Piro </w:t>
      </w:r>
      <w:proofErr w:type="spellStart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>Lutaj</w:t>
      </w:r>
      <w:proofErr w:type="spellEnd"/>
      <w:r w:rsidR="00D957D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si Sekretar, kanë mbështetur e kontribuuar në inicimin dhe implementimin e këtij projekti. 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>Nga ana tjetër, ishte po ashtu vendimtare mbështetja e DCAF</w:t>
      </w:r>
      <w:r w:rsidR="00955D2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parë kjo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sa 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aspektin financiar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po aq edhe n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>ë ekspertizë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profesionale me studiues dhe literaturë. </w:t>
      </w:r>
    </w:p>
    <w:p w:rsidR="00D957DF" w:rsidRPr="00FD17C3" w:rsidRDefault="00D957DF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Duke filluar nga 12 Nëntori i vitit të kaluar, u zhvilluan 7 takime të përbashkëta ku janë diskutuar e shkëmbyer përvoja </w:t>
      </w:r>
      <w:r w:rsidR="00F84EBA" w:rsidRPr="00FD17C3">
        <w:rPr>
          <w:rFonts w:ascii="Times New Roman" w:hAnsi="Times New Roman" w:cs="Times New Roman"/>
          <w:sz w:val="24"/>
          <w:szCs w:val="24"/>
          <w:lang w:val="sq-AL"/>
        </w:rPr>
        <w:t>të vlefshme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për çështjet: principe të përgjithshme dhe praktikat më efikase të monitorimit nga parlamenti të sektorit të sigurisë; monitorimi financiar i institucioneve të sigurisë prej parlamentit; monitorimi </w:t>
      </w:r>
      <w:r w:rsidR="000F3F0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dhe kontrolli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i institucioneve informative; </w:t>
      </w:r>
      <w:r w:rsidR="000F3F0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roli i aktorëve 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>kryesorë</w:t>
      </w:r>
      <w:r w:rsidR="000F3F0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në çështjet e sigurisë kombëtare (me fokus Këshillin e Sigurisë Kombëtare); paketa e re ligjore për sektorin e mbrojtjes dhe ndarjen e kompetencave për drejtimin e komandimin strategjik të Forcave të Armatosura; Ligji për kompanitë private të sigurisë; Strategjia e Sigurisë Kombëtare të RSH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>, etj</w:t>
      </w:r>
      <w:r w:rsidR="000F3F0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BF3B54" w:rsidRPr="00FD17C3" w:rsidRDefault="000F3F0F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Me vlerë të veçantë ka qenë pjesëmarrja në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workshop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>-in e parë e dy ekspertëve të DCAF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cilët bënë të njohura 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>përvojat më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pozitive sot në Evropë dhe shtjelluan disa prej praktikave më efikase të ushtrimit të mbikëqyrjes dhe kontrollit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parlamentit mbi sektorin e sigurisë. </w:t>
      </w:r>
      <w:r w:rsidR="00CE005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mënyrë të posaçme vlen të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risillen në kujtesë disa prej konkluzioneve të </w:t>
      </w:r>
      <w:r w:rsidR="00CE005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tyre se parlamentarët mund të mos jenë ekspertë të fushës, por “ata duhet të dinë të bëjnë pyetjet e duhura”.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>ta duhet të jenë këmbëngulës ndaj Qeverisë duke i kërkuar që “</w:t>
      </w:r>
      <w:r w:rsidR="008F11AD" w:rsidRPr="00FD17C3">
        <w:rPr>
          <w:rFonts w:ascii="Times New Roman" w:hAnsi="Times New Roman" w:cs="Times New Roman"/>
          <w:i/>
          <w:sz w:val="24"/>
          <w:szCs w:val="24"/>
          <w:lang w:val="sq-AL"/>
        </w:rPr>
        <w:t>të  informojë, shpjegojë dhe justifikojë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F11AD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"/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mbi punën që kryhet në sektorin e sigurisë. Nga ana tjetër ata duhet të përcaktojnë e ndjekin procedura dhe afate në punën e vet mbikëqyrëse e kontrolluese,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nëse duan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jenë produktiv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ë, 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duke shmangur, njëherazi, </w:t>
      </w:r>
      <w:proofErr w:type="spellStart"/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>dublikimet</w:t>
      </w:r>
      <w:proofErr w:type="spellEnd"/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apo përplasjet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punën e komisioneve 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të tjera 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>parlamenta</w:t>
      </w:r>
      <w:r w:rsidR="00BF3B54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re, por edhe punën e shkëputur e pa ndërveprim me to. </w:t>
      </w:r>
    </w:p>
    <w:p w:rsidR="000F3F0F" w:rsidRPr="00FD17C3" w:rsidRDefault="00CE005E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secilin prej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worksho</w:t>
      </w:r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>p</w:t>
      </w:r>
      <w:proofErr w:type="spellEnd"/>
      <w:r w:rsidR="008F11AD" w:rsidRPr="00FD17C3">
        <w:rPr>
          <w:rFonts w:ascii="Times New Roman" w:hAnsi="Times New Roman" w:cs="Times New Roman"/>
          <w:sz w:val="24"/>
          <w:szCs w:val="24"/>
          <w:lang w:val="sq-AL"/>
        </w:rPr>
        <w:t>-ë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ve të sipërpërmendur, në varësi të çështjeve të vendosura në fokus, anëtarëve të Komisionit të Sigurisë, u janë vënë në dispozicion edhe materiale tekstuale, studime të IDM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por jo vetëm, me qëllim 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>krijimin e një fondi të përshtatshëm materialesh studimore, të volitshme për referim, ku principet dhe analizat teorike, së bashku me praktikat më të mira nga vendet me demokraci të konsoliduar e në zhvillim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jenë ballafaquar me praktikat e deritanishme të vendit tonë, për këto çështje. </w:t>
      </w:r>
    </w:p>
    <w:p w:rsidR="00CE005E" w:rsidRPr="00FD17C3" w:rsidRDefault="00CE005E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Ishte e natyrshme që ky proces i shtrirë në një periudhë gati një vjeçare, do të kishte edhe sfidat e veta. </w:t>
      </w:r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>Atmosfera e ngarkuar politikisht në prag të marrjes së statusit kandidat për integrim në BE, pozicionet politike të diferencuara në lidhje me reformën territori</w:t>
      </w:r>
      <w:r w:rsidR="0022592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ale, të administratës publike </w:t>
      </w:r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 drejtësisë dhe sidomos, bojkoti i opozitës që nga Korriku i këtij viti, kanë pasur reflekset e veta edhe në ecurinë e projektit tonë. Kjo është konstatuar në pjesëmarrjen relativisht të ulët të anëtarëve të Komisionit të Sigurisë në </w:t>
      </w:r>
      <w:proofErr w:type="spellStart"/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>workshop</w:t>
      </w:r>
      <w:proofErr w:type="spellEnd"/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-et e zhvilluara në kuadrin e këtij projekti dhe në cilësinë e diskutimeve për çështje të veçanta të tyre. Në një rast, konkretisht në </w:t>
      </w:r>
      <w:proofErr w:type="spellStart"/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>workshop</w:t>
      </w:r>
      <w:proofErr w:type="spellEnd"/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-in e organizuar në lidhje me kompanitë private të sigurisë, për shkak të shpejtësisë me të cilin u procedua në Parlament, aktiviteti ynë u krye pas miratimit të ligjit përkatës. </w:t>
      </w:r>
    </w:p>
    <w:p w:rsidR="00DD4B3A" w:rsidRPr="00FD17C3" w:rsidRDefault="007B737E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vijim, një paraqitje më e detajuar e disa prej konkluzioneve kryesore 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të punës së IDM, </w:t>
      </w:r>
      <w:r w:rsidR="002E6E2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parë kjo 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>në një kohështrirje më të madhe</w:t>
      </w:r>
      <w:r w:rsidR="00955D2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duke përshirë edhe një pjesë të legjislaturës së kaluar. </w:t>
      </w:r>
    </w:p>
    <w:p w:rsidR="00882CB2" w:rsidRPr="00FD17C3" w:rsidRDefault="00882CB2" w:rsidP="00FD17C3">
      <w:pPr>
        <w:pStyle w:val="ListParagraph"/>
        <w:spacing w:before="120"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82CB2" w:rsidRPr="00FD17C3" w:rsidRDefault="00E63DBB" w:rsidP="00FD17C3">
      <w:pPr>
        <w:pStyle w:val="ListParagraph"/>
        <w:spacing w:before="120" w:after="0" w:line="36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/>
          <w:i/>
          <w:sz w:val="24"/>
          <w:szCs w:val="24"/>
          <w:lang w:val="sq-AL"/>
        </w:rPr>
        <w:t>Parlamentarizmi dhe sektori i sigurisë në Shqipëri</w:t>
      </w:r>
    </w:p>
    <w:p w:rsidR="00D33EA6" w:rsidRPr="00FD17C3" w:rsidRDefault="009A0D55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Në përgjithësi</w:t>
      </w:r>
      <w:r w:rsidR="007B73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0264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mbështetur edhe në raportet e institucioneve ndërkombëtare, sidomos të 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>progres-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>raport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>eve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A0264C" w:rsidRPr="00FD17C3">
        <w:rPr>
          <w:rFonts w:ascii="Times New Roman" w:hAnsi="Times New Roman" w:cs="Times New Roman"/>
          <w:sz w:val="24"/>
          <w:szCs w:val="24"/>
          <w:lang w:val="sq-AL"/>
        </w:rPr>
        <w:t>Komisionit të BE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për Shqipërinë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(përfshi atë të datës 8 Tetor të këtij viti)</w:t>
      </w:r>
      <w:r w:rsidR="00DD4B3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hulumtimeve të IDM të kryera në një periudhë 3-4 vjeçare, si dhe të projektit në fjalë, 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>konstatohet progres në zhvillimin e</w:t>
      </w:r>
      <w:r w:rsidR="00A0264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parlamentarizmit 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dhe thellimin e reformave demokratizuese </w:t>
      </w:r>
      <w:r w:rsidR="00A0264C" w:rsidRPr="00FD17C3">
        <w:rPr>
          <w:rFonts w:ascii="Times New Roman" w:hAnsi="Times New Roman" w:cs="Times New Roman"/>
          <w:sz w:val="24"/>
          <w:szCs w:val="24"/>
          <w:lang w:val="sq-AL"/>
        </w:rPr>
        <w:t>në Shqipëri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E6E2A" w:rsidRPr="00FD17C3">
        <w:rPr>
          <w:rFonts w:ascii="Times New Roman" w:hAnsi="Times New Roman" w:cs="Times New Roman"/>
          <w:sz w:val="24"/>
          <w:szCs w:val="24"/>
          <w:lang w:val="sq-AL"/>
        </w:rPr>
        <w:t>Bazuar në përvojën e demokracive të reja, konstatohet se, si rregull,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D33EA6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rocesi i institucionalizimit të 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>këtyre reformave</w:t>
      </w:r>
      <w:r w:rsidR="00D33EA6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ndjek tre nivele të njëpasnjëshëm</w:t>
      </w:r>
      <w:r w:rsidR="00D33EA6" w:rsidRPr="00FD17C3">
        <w:rPr>
          <w:rFonts w:ascii="Times New Roman" w:hAnsi="Times New Roman" w:cs="Times New Roman"/>
          <w:sz w:val="24"/>
          <w:szCs w:val="24"/>
          <w:vertAlign w:val="superscript"/>
          <w:lang w:val="sq-AL" w:bidi="he-IL"/>
        </w:rPr>
        <w:t>(</w:t>
      </w:r>
      <w:r w:rsidR="00D33EA6" w:rsidRPr="00FD17C3">
        <w:rPr>
          <w:rStyle w:val="FootnoteReference"/>
          <w:rFonts w:ascii="Times New Roman" w:hAnsi="Times New Roman" w:cs="Times New Roman"/>
          <w:sz w:val="24"/>
          <w:szCs w:val="24"/>
          <w:lang w:val="sq-AL" w:bidi="he-IL"/>
        </w:rPr>
        <w:footnoteReference w:id="2"/>
      </w:r>
      <w:r w:rsidR="00D33EA6" w:rsidRPr="00FD17C3">
        <w:rPr>
          <w:rFonts w:ascii="Times New Roman" w:hAnsi="Times New Roman" w:cs="Times New Roman"/>
          <w:sz w:val="24"/>
          <w:szCs w:val="24"/>
          <w:vertAlign w:val="superscript"/>
          <w:lang w:val="sq-AL" w:bidi="he-IL"/>
        </w:rPr>
        <w:t>)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: 1) vendosja e kuadrit 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>ligjor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>2) zbatimi i ligjeve (që konsistojnë kryesisht në kapacitetet administrative dhe praktikat në zbatim)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>3) “</w:t>
      </w:r>
      <w:proofErr w:type="spellStart"/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>brendësimi</w:t>
      </w:r>
      <w:proofErr w:type="spellEnd"/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” i ligjeve (që përfaqëson nivelin më të lartë të transformimit, e lidhur kryesisht me qëndrimin e çdo </w:t>
      </w:r>
      <w:r w:rsidR="005572E2" w:rsidRPr="00FD17C3">
        <w:rPr>
          <w:rFonts w:ascii="Times New Roman" w:hAnsi="Times New Roman" w:cs="Times New Roman"/>
          <w:sz w:val="24"/>
          <w:szCs w:val="24"/>
          <w:lang w:val="sq-AL"/>
        </w:rPr>
        <w:t>individi, apo institucioni në përgjithësi,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ndaj këtyre ligjeve dhe praktikave). Në rastin e Shqipërisë, pavarësisht hapave pozitivë në përmirësimin e kuadrit ligjor, të përfshirjes në këtë proces të më shumë aktorëve dhe përmirësimit të transparencës, ky proces mund të konsiderohet </w:t>
      </w:r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ende në 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>fillim</w:t>
      </w:r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>“nivelit 2” (zbatimi) por ende larg “nivelit 3” (</w:t>
      </w:r>
      <w:proofErr w:type="spellStart"/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>brendësimi</w:t>
      </w:r>
      <w:proofErr w:type="spellEnd"/>
      <w:r w:rsidR="00D33EA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</w:p>
    <w:p w:rsidR="00FD17C3" w:rsidRDefault="00FD17C3" w:rsidP="00FD17C3">
      <w:pPr>
        <w:pStyle w:val="Default"/>
        <w:spacing w:before="120" w:line="360" w:lineRule="auto"/>
        <w:rPr>
          <w:b/>
          <w:i/>
          <w:color w:val="auto"/>
          <w:lang w:val="sq-AL"/>
        </w:rPr>
      </w:pPr>
    </w:p>
    <w:p w:rsidR="00DC5847" w:rsidRPr="00FD17C3" w:rsidRDefault="00DC5847" w:rsidP="00FD17C3">
      <w:pPr>
        <w:pStyle w:val="Default"/>
        <w:spacing w:before="120" w:line="360" w:lineRule="auto"/>
        <w:rPr>
          <w:b/>
          <w:i/>
          <w:color w:val="auto"/>
          <w:lang w:val="sq-AL"/>
        </w:rPr>
      </w:pPr>
      <w:r w:rsidRPr="00FD17C3">
        <w:rPr>
          <w:b/>
          <w:i/>
          <w:color w:val="auto"/>
          <w:lang w:val="sq-AL"/>
        </w:rPr>
        <w:t>Miratimi i ligjeve</w:t>
      </w:r>
    </w:p>
    <w:p w:rsidR="002E6E2A" w:rsidRPr="00FD17C3" w:rsidRDefault="00DC5847" w:rsidP="00FD17C3">
      <w:pPr>
        <w:pStyle w:val="Default"/>
        <w:spacing w:before="120" w:line="360" w:lineRule="auto"/>
        <w:jc w:val="both"/>
        <w:rPr>
          <w:color w:val="auto"/>
          <w:lang w:val="sq-AL"/>
        </w:rPr>
      </w:pPr>
      <w:r w:rsidRPr="00FD17C3">
        <w:rPr>
          <w:color w:val="auto"/>
          <w:lang w:val="sq-AL"/>
        </w:rPr>
        <w:t>Gjatë legjislaturës së kaluar, Kuvendi i Shqipërisë miratoi mbi 600 ligje</w:t>
      </w:r>
      <w:r w:rsidRPr="00FD17C3">
        <w:rPr>
          <w:rStyle w:val="FootnoteReference"/>
          <w:rFonts w:eastAsia="Times New Roman"/>
          <w:color w:val="auto"/>
          <w:lang w:bidi="he-IL"/>
        </w:rPr>
        <w:footnoteReference w:id="3"/>
      </w:r>
      <w:r w:rsidRPr="00FD17C3">
        <w:rPr>
          <w:color w:val="auto"/>
          <w:lang w:val="sq-AL"/>
        </w:rPr>
        <w:t xml:space="preserve">, </w:t>
      </w:r>
      <w:r w:rsidR="001C44B1" w:rsidRPr="00FD17C3">
        <w:rPr>
          <w:color w:val="auto"/>
          <w:lang w:val="sq-AL"/>
        </w:rPr>
        <w:t>prej të cilëve,</w:t>
      </w:r>
      <w:r w:rsidRPr="00FD17C3">
        <w:rPr>
          <w:color w:val="auto"/>
          <w:lang w:val="sq-AL"/>
        </w:rPr>
        <w:t xml:space="preserve"> </w:t>
      </w:r>
      <w:r w:rsidR="00937CA3" w:rsidRPr="00FD17C3">
        <w:rPr>
          <w:color w:val="auto"/>
          <w:lang w:val="sq-AL"/>
        </w:rPr>
        <w:t xml:space="preserve">vetëm </w:t>
      </w:r>
      <w:r w:rsidRPr="00FD17C3">
        <w:rPr>
          <w:color w:val="auto"/>
          <w:lang w:val="sq-AL"/>
        </w:rPr>
        <w:t xml:space="preserve">një numër i vogël i takojnë sektorit të sigurisë. Shumica e tyre kanë synuar përafrimin e legjislacionit shqiptar me atë të BE. Megjithatë cilësia e </w:t>
      </w:r>
      <w:r w:rsidR="001C44B1" w:rsidRPr="00FD17C3">
        <w:rPr>
          <w:color w:val="auto"/>
          <w:lang w:val="sq-AL"/>
        </w:rPr>
        <w:t>ligjeve të miratuara</w:t>
      </w:r>
      <w:r w:rsidRPr="00FD17C3">
        <w:rPr>
          <w:color w:val="auto"/>
          <w:lang w:val="sq-AL"/>
        </w:rPr>
        <w:t xml:space="preserve"> është vënë jo rrallë në  pikëpyetje, për shkak të procedurave të shpejta të miratimit, të cilat</w:t>
      </w:r>
      <w:r w:rsidR="00A3094C">
        <w:rPr>
          <w:color w:val="auto"/>
          <w:lang w:val="sq-AL"/>
        </w:rPr>
        <w:t>,</w:t>
      </w:r>
      <w:r w:rsidRPr="00FD17C3">
        <w:rPr>
          <w:color w:val="auto"/>
          <w:lang w:val="sq-AL"/>
        </w:rPr>
        <w:t xml:space="preserve"> sipas konstatimit në raportet e progresit të BE, </w:t>
      </w:r>
      <w:r w:rsidRPr="00FD17C3">
        <w:rPr>
          <w:i/>
          <w:color w:val="auto"/>
          <w:lang w:val="sq-AL"/>
        </w:rPr>
        <w:t>“...nuk u kanë dhënë komisioneve parlamentare kohën e nevojshme për shqyrtim dhe organizim</w:t>
      </w:r>
      <w:r w:rsidR="001C44B1" w:rsidRPr="00FD17C3">
        <w:rPr>
          <w:i/>
          <w:color w:val="auto"/>
          <w:lang w:val="sq-AL"/>
        </w:rPr>
        <w:t xml:space="preserve">in e </w:t>
      </w:r>
      <w:r w:rsidRPr="00FD17C3">
        <w:rPr>
          <w:i/>
          <w:color w:val="auto"/>
          <w:lang w:val="sq-AL"/>
        </w:rPr>
        <w:t>seancave përkatëse dëgjimore</w:t>
      </w:r>
      <w:r w:rsidRPr="00FD17C3">
        <w:rPr>
          <w:color w:val="auto"/>
          <w:lang w:val="sq-AL"/>
        </w:rPr>
        <w:t>”.</w:t>
      </w:r>
      <w:r w:rsidRPr="00FD17C3">
        <w:rPr>
          <w:rStyle w:val="FootnoteReference"/>
          <w:rFonts w:eastAsia="Times New Roman"/>
          <w:color w:val="auto"/>
          <w:lang w:bidi="he-IL"/>
        </w:rPr>
        <w:footnoteReference w:id="4"/>
      </w:r>
      <w:r w:rsidRPr="00FD17C3">
        <w:rPr>
          <w:color w:val="auto"/>
          <w:lang w:val="sq-AL"/>
        </w:rPr>
        <w:t xml:space="preserve"> Disa prej ligjeve që lidhen me çështjet e integritetit kanë pasur boshllëqe, shpesh në vetë formulimet e tyre dhe u mungojnë mekanizmat zbatues</w:t>
      </w:r>
      <w:r w:rsidRPr="00FD17C3">
        <w:rPr>
          <w:rStyle w:val="FootnoteReference"/>
          <w:color w:val="auto"/>
          <w:lang w:val="sq-AL" w:bidi="he-IL"/>
        </w:rPr>
        <w:footnoteReference w:id="5"/>
      </w:r>
      <w:r w:rsidRPr="00FD17C3">
        <w:rPr>
          <w:color w:val="auto"/>
          <w:lang w:val="sq-AL" w:bidi="he-IL"/>
        </w:rPr>
        <w:t xml:space="preserve">. </w:t>
      </w:r>
      <w:r w:rsidRPr="00FD17C3">
        <w:rPr>
          <w:color w:val="auto"/>
          <w:lang w:val="sq-AL"/>
        </w:rPr>
        <w:t xml:space="preserve">Gjatë kësaj periudhe, me gjithë diskutimet e vijueshme edhe me shoqërinë civile, Kuvendi </w:t>
      </w:r>
      <w:r w:rsidR="002E6E2A" w:rsidRPr="00FD17C3">
        <w:rPr>
          <w:color w:val="auto"/>
          <w:lang w:val="sq-AL"/>
        </w:rPr>
        <w:t xml:space="preserve">nuk arriti të miratonte </w:t>
      </w:r>
      <w:r w:rsidRPr="00FD17C3">
        <w:rPr>
          <w:color w:val="auto"/>
          <w:lang w:val="sq-AL"/>
        </w:rPr>
        <w:t>ligji</w:t>
      </w:r>
      <w:r w:rsidR="002E6E2A" w:rsidRPr="00FD17C3">
        <w:rPr>
          <w:color w:val="auto"/>
          <w:lang w:val="sq-AL"/>
        </w:rPr>
        <w:t xml:space="preserve">n </w:t>
      </w:r>
      <w:r w:rsidRPr="00FD17C3">
        <w:rPr>
          <w:color w:val="auto"/>
          <w:lang w:val="sq-AL"/>
        </w:rPr>
        <w:t xml:space="preserve">për </w:t>
      </w:r>
      <w:r w:rsidR="00E63DBB" w:rsidRPr="00FD17C3">
        <w:rPr>
          <w:color w:val="auto"/>
          <w:lang w:val="sq-AL"/>
        </w:rPr>
        <w:t xml:space="preserve">kontrollin e </w:t>
      </w:r>
      <w:r w:rsidRPr="00FD17C3">
        <w:rPr>
          <w:color w:val="auto"/>
          <w:lang w:val="sq-AL"/>
        </w:rPr>
        <w:t>shërbime</w:t>
      </w:r>
      <w:r w:rsidR="00E63DBB" w:rsidRPr="00FD17C3">
        <w:rPr>
          <w:color w:val="auto"/>
          <w:lang w:val="sq-AL"/>
        </w:rPr>
        <w:t>ve</w:t>
      </w:r>
      <w:r w:rsidRPr="00FD17C3">
        <w:rPr>
          <w:color w:val="auto"/>
          <w:lang w:val="sq-AL"/>
        </w:rPr>
        <w:t xml:space="preserve"> </w:t>
      </w:r>
      <w:r w:rsidR="002E6E2A" w:rsidRPr="00FD17C3">
        <w:rPr>
          <w:color w:val="auto"/>
          <w:lang w:val="sq-AL"/>
        </w:rPr>
        <w:t xml:space="preserve">informative. </w:t>
      </w:r>
      <w:r w:rsidR="00E63DBB" w:rsidRPr="00FD17C3">
        <w:rPr>
          <w:color w:val="auto"/>
          <w:lang w:val="sq-AL"/>
        </w:rPr>
        <w:t>Aktualisht ekziston l</w:t>
      </w:r>
      <w:r w:rsidR="002E6E2A" w:rsidRPr="00FD17C3">
        <w:rPr>
          <w:color w:val="auto"/>
          <w:lang w:val="sq-AL"/>
        </w:rPr>
        <w:t xml:space="preserve">igji </w:t>
      </w:r>
      <w:r w:rsidR="00E63DBB" w:rsidRPr="00FD17C3">
        <w:rPr>
          <w:color w:val="auto"/>
          <w:lang w:val="sq-AL"/>
        </w:rPr>
        <w:t xml:space="preserve">organik për </w:t>
      </w:r>
      <w:r w:rsidR="002E6E2A" w:rsidRPr="00FD17C3">
        <w:rPr>
          <w:color w:val="auto"/>
          <w:lang w:val="sq-AL" w:bidi="he-IL"/>
        </w:rPr>
        <w:t>Shërbimi</w:t>
      </w:r>
      <w:r w:rsidR="00E63DBB" w:rsidRPr="00FD17C3">
        <w:rPr>
          <w:color w:val="auto"/>
          <w:lang w:val="sq-AL" w:bidi="he-IL"/>
        </w:rPr>
        <w:t>n</w:t>
      </w:r>
      <w:r w:rsidR="002E6E2A" w:rsidRPr="00FD17C3">
        <w:rPr>
          <w:color w:val="auto"/>
          <w:lang w:val="sq-AL" w:bidi="he-IL"/>
        </w:rPr>
        <w:t xml:space="preserve"> Informativ të Shtetit (SHISH) </w:t>
      </w:r>
      <w:r w:rsidR="00E63DBB" w:rsidRPr="00FD17C3">
        <w:rPr>
          <w:color w:val="auto"/>
          <w:lang w:val="sq-AL" w:bidi="he-IL"/>
        </w:rPr>
        <w:t>i cili</w:t>
      </w:r>
      <w:r w:rsidR="00937CA3" w:rsidRPr="00FD17C3">
        <w:rPr>
          <w:color w:val="auto"/>
          <w:lang w:val="sq-AL" w:bidi="he-IL"/>
        </w:rPr>
        <w:t>, siç pranohet tashmë nga të gjithë, e ka të nevojshme të ripunohet</w:t>
      </w:r>
      <w:r w:rsidR="00E63DBB" w:rsidRPr="00FD17C3">
        <w:rPr>
          <w:color w:val="auto"/>
          <w:lang w:val="sq-AL" w:bidi="he-IL"/>
        </w:rPr>
        <w:t>. Së fundi</w:t>
      </w:r>
      <w:r w:rsidR="00A03B9B">
        <w:rPr>
          <w:color w:val="auto"/>
          <w:lang w:val="sq-AL" w:bidi="he-IL"/>
        </w:rPr>
        <w:t>, në Qershor të këtij viti,</w:t>
      </w:r>
      <w:r w:rsidR="00E63DBB" w:rsidRPr="00FD17C3">
        <w:rPr>
          <w:color w:val="auto"/>
          <w:lang w:val="sq-AL" w:bidi="he-IL"/>
        </w:rPr>
        <w:t xml:space="preserve"> u ripunua ligji “Për Agjencinë e Inteligjencës dhe Sigurisë të Mbrojtjes”</w:t>
      </w:r>
      <w:r w:rsidR="00E416DB" w:rsidRPr="00FD17C3">
        <w:rPr>
          <w:color w:val="auto"/>
          <w:lang w:val="sq-AL" w:bidi="he-IL"/>
        </w:rPr>
        <w:t xml:space="preserve"> (AISM)</w:t>
      </w:r>
      <w:r w:rsidR="00E63DBB" w:rsidRPr="00FD17C3">
        <w:rPr>
          <w:color w:val="auto"/>
          <w:lang w:val="sq-AL" w:bidi="he-IL"/>
        </w:rPr>
        <w:t xml:space="preserve">, por ende mbeten pa u mbuluar nga ana ligjore pesë </w:t>
      </w:r>
      <w:r w:rsidR="00937CA3" w:rsidRPr="00FD17C3">
        <w:rPr>
          <w:color w:val="auto"/>
          <w:lang w:val="sq-AL" w:bidi="he-IL"/>
        </w:rPr>
        <w:t>shërbime të tjera informative</w:t>
      </w:r>
      <w:r w:rsidR="00937CA3" w:rsidRPr="00FD17C3">
        <w:rPr>
          <w:rStyle w:val="FootnoteReference"/>
          <w:color w:val="auto"/>
          <w:lang w:val="sq-AL" w:bidi="he-IL"/>
        </w:rPr>
        <w:footnoteReference w:id="6"/>
      </w:r>
      <w:r w:rsidR="00937CA3" w:rsidRPr="00FD17C3">
        <w:rPr>
          <w:color w:val="auto"/>
          <w:lang w:val="sq-AL" w:bidi="he-IL"/>
        </w:rPr>
        <w:t>.</w:t>
      </w:r>
      <w:r w:rsidR="001C44B1" w:rsidRPr="00FD17C3">
        <w:rPr>
          <w:color w:val="auto"/>
          <w:lang w:val="sq-AL" w:bidi="he-IL"/>
        </w:rPr>
        <w:t xml:space="preserve"> P</w:t>
      </w:r>
      <w:r w:rsidR="00937CA3" w:rsidRPr="00FD17C3">
        <w:rPr>
          <w:color w:val="auto"/>
          <w:lang w:val="sq-AL" w:bidi="he-IL"/>
        </w:rPr>
        <w:t>ër këto shërbime</w:t>
      </w:r>
      <w:r w:rsidR="001C44B1" w:rsidRPr="00FD17C3">
        <w:rPr>
          <w:color w:val="auto"/>
          <w:lang w:val="sq-AL" w:bidi="he-IL"/>
        </w:rPr>
        <w:t>,</w:t>
      </w:r>
      <w:r w:rsidR="00937CA3" w:rsidRPr="00FD17C3">
        <w:rPr>
          <w:color w:val="auto"/>
          <w:lang w:val="sq-AL" w:bidi="he-IL"/>
        </w:rPr>
        <w:t xml:space="preserve"> të cilat funksionojnë në Ministrinë e Brendshme, Ministrinë e Financave dhe Ministrinë e Drejtësisë, praktikisht mungon kuadri ligjor, për të rregulluar mbikëqyrjen dhe kontrollin e tyre prej Legjislativit. </w:t>
      </w:r>
      <w:r w:rsidR="002E6E2A" w:rsidRPr="00FD17C3">
        <w:rPr>
          <w:color w:val="auto"/>
          <w:lang w:val="sq-AL" w:bidi="he-IL"/>
        </w:rPr>
        <w:t>Nga ana tjetër, edhe për SHISH</w:t>
      </w:r>
      <w:r w:rsidR="00E416DB" w:rsidRPr="00FD17C3">
        <w:rPr>
          <w:color w:val="auto"/>
          <w:lang w:val="sq-AL" w:bidi="he-IL"/>
        </w:rPr>
        <w:t xml:space="preserve"> e AISM</w:t>
      </w:r>
      <w:r w:rsidR="002E6E2A" w:rsidRPr="00FD17C3">
        <w:rPr>
          <w:color w:val="auto"/>
          <w:lang w:val="sq-AL" w:bidi="he-IL"/>
        </w:rPr>
        <w:t xml:space="preserve">, është e paqartë mënyra e ushtrimit të kontrollit financiar nga </w:t>
      </w:r>
      <w:r w:rsidR="002E6E2A" w:rsidRPr="00FD17C3">
        <w:rPr>
          <w:color w:val="auto"/>
          <w:lang w:val="sq-AL" w:bidi="he-IL"/>
        </w:rPr>
        <w:lastRenderedPageBreak/>
        <w:t>legjislativi (konkretisht nga Komisioni Parlamentar i Sigurisë) përveçse nëpërmjet Kontrollit të Lartë të Shtetit (KLSH).</w:t>
      </w:r>
      <w:r w:rsidR="002E6E2A" w:rsidRPr="00FD17C3">
        <w:rPr>
          <w:color w:val="auto"/>
          <w:lang w:val="sq-AL"/>
        </w:rPr>
        <w:t xml:space="preserve"> </w:t>
      </w:r>
    </w:p>
    <w:p w:rsidR="00937CA3" w:rsidRPr="00FD17C3" w:rsidRDefault="00D22854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Nga aspekti i cilësisë, rezulton se Ligji Nr</w:t>
      </w:r>
      <w:r w:rsidR="00420A9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116,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datë</w:t>
      </w:r>
      <w:r w:rsidR="00420A9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13.12.2012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20A9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disa ndryshime dhe shtesa në ligjin nr. 9157, datë 4.12.2003 “Për përgjimin e telekomunikimeve”, të ndryshuar”,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nisur edhe nga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sensitiviteti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i objektit të tij, është nga ligjet më problematike të miratuara në kët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>o 2-3 vite të fundit</w:t>
      </w:r>
      <w:r w:rsidR="00420A9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në fushën e sigurisë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Në bazë të vlerësimit të njërit prej deputetëve të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mazhorancës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së asaj kohe</w:t>
      </w:r>
      <w:r w:rsidR="00651E2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e </w:t>
      </w:r>
      <w:r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drejta e pakufizuar e 29 institucioneve për të përgjuar gjithkënd e pa asnjë garanci ligjore, vijon të jetë në fuqi dhe kërcënon shumë rëndë të drejtat dhe liritë e çdo shqiptari apo të huaji në këtë vend. Përtej ndjekjes penale ndaj cilitdo që është përfshirë në </w:t>
      </w:r>
      <w:r w:rsidR="00082B11"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>mënyrë abuzive me këto përgjime</w:t>
      </w:r>
      <w:r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duhet </w:t>
      </w:r>
      <w:r w:rsidR="00082B11"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bërë </w:t>
      </w:r>
      <w:r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>urgjentisht ndryshimi i ligjit dhe kthimi i tij në standardin evropian që mbron liritë dhe të drejtat e qytetarëve</w:t>
      </w:r>
      <w:r w:rsidRPr="00FD17C3">
        <w:rPr>
          <w:rStyle w:val="FootnoteReference"/>
          <w:rFonts w:ascii="Times New Roman" w:eastAsia="Times New Roman" w:hAnsi="Times New Roman" w:cs="Times New Roman"/>
          <w:sz w:val="24"/>
          <w:szCs w:val="24"/>
          <w:lang w:val="sq-AL"/>
        </w:rPr>
        <w:footnoteReference w:id="7"/>
      </w:r>
      <w:r w:rsidR="0068696F"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082B11" w:rsidRPr="00FD17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082B11" w:rsidRPr="00FD17C3" w:rsidRDefault="00937CA3" w:rsidP="00FD17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Një nga problemet në lidhje me hartimin e ligjeve 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>vijon të mbetet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mungesa e kompromisit midis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mazhorancës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opozitës, për rrjedhojë, projekt-ligjet kanë kaluar për votim në parlament kryesisht të pandryshuara</w:t>
      </w:r>
      <w:r w:rsidR="00A03B9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vetëm me votat e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mazhorancës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 </w:t>
      </w:r>
      <w:r w:rsidR="00651E2D" w:rsidRPr="00FD17C3">
        <w:rPr>
          <w:rFonts w:ascii="Times New Roman" w:hAnsi="Times New Roman" w:cs="Times New Roman"/>
          <w:sz w:val="24"/>
          <w:szCs w:val="24"/>
          <w:lang w:val="sq-AL"/>
        </w:rPr>
        <w:t>Kjo ka ndikuar jo vetëm në cilësinë e ligjit</w:t>
      </w:r>
      <w:r w:rsidR="00A03B9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51E2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por edhe në jetëgjatësinë e tij, e konstatuar në disa raste.</w:t>
      </w:r>
      <w:r w:rsidR="00651E2D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8"/>
      </w:r>
      <w:r w:rsidR="00651E2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C5847" w:rsidRPr="00FD17C3" w:rsidRDefault="00DC5847" w:rsidP="00FD17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Në legjislaturën e re, brenda rreth një viti, janë miratuar shtatë ligje që lidhen me sektorin e sigurisë. Me gjithë aspektin pozitiv të përmbushjes të disa boshllëqeve ligjore, apo të nevojës për të reflektuar nga ana ligjore ndaj një numri zhvillimesh të kohës në këtë sektor (veçanërisht miratimi i Strategjisë të Sigurisë Kombëtare) sërish mund të thuhet se ka pasur një ngutje të pajustifikuar, që e ka ngushtuar kohën e nevojshme për analizë nga KPSK, por edhe nga Shoqëria Civile (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specifikisht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IDM). </w:t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Bojkoti prej opozitës i punimeve të Kuvendit dhe komisioneve parlamentare, 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gjysmën e dytë të </w:t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këtij viti, në mënyrë të kuptueshme ka pasur ndikimin e vet në </w:t>
      </w:r>
      <w:proofErr w:type="spellStart"/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>skrupulozitetin</w:t>
      </w:r>
      <w:proofErr w:type="spellEnd"/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e shqyrtimit të projekt-ligjeve të sjella në Kuvend. Në mungesë të përfaqësuesve të opozitës, shqyrtimi i këtyre ligjeve në </w:t>
      </w:r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>KPSK</w:t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në seancat plenare është bërë relativisht shpejt</w:t>
      </w:r>
      <w:r w:rsidR="00651E2D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9"/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>, me ndërhyrje, pyetje e komente vetëm nga n</w:t>
      </w:r>
      <w:r w:rsidR="00082B11" w:rsidRPr="00FD17C3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ë grup i vogël deputetësh, </w:t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>me pak ose aspak ndryshime nga projekti i sjellë nga Qeveria.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Nga ana tjetër, janë disa raste ku </w:t>
      </w:r>
      <w:r w:rsidR="00624FE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ekspertiza e dhënë nga IDM nuk është marrë parasysh.  </w:t>
      </w:r>
    </w:p>
    <w:p w:rsidR="00DC5847" w:rsidRPr="00FD17C3" w:rsidRDefault="00DC5847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 w:bidi="he-IL"/>
        </w:rPr>
      </w:pPr>
      <w:r w:rsidRPr="00FD17C3">
        <w:rPr>
          <w:rFonts w:ascii="Times New Roman" w:hAnsi="Times New Roman" w:cs="Times New Roman"/>
          <w:b/>
          <w:i/>
          <w:sz w:val="24"/>
          <w:szCs w:val="24"/>
          <w:lang w:val="sq-AL" w:bidi="he-IL"/>
        </w:rPr>
        <w:t>Mbikëqyrja dhe kontrolli i institucioneve të sigurisë</w:t>
      </w:r>
    </w:p>
    <w:p w:rsidR="00D33EA6" w:rsidRPr="00FD17C3" w:rsidRDefault="00D33EA6" w:rsidP="00FD17C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Tre faktorë përcaktojnë një mbikëqyrje dhe kontroll efektiv 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Legjislativit 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mbi sektorin e sigurisë: a) </w:t>
      </w:r>
      <w:r w:rsidRPr="00FD17C3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autoriteti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(që rrjedh nga kuadri kushtetues e ligjor, por edhe nga praktikat ekzistuese) b)</w:t>
      </w:r>
      <w:r w:rsidR="006F67AA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507300" w:rsidRPr="00FD17C3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vullneti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(i </w:t>
      </w:r>
      <w:r w:rsidR="00DC5847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parë ky tek 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parti</w:t>
      </w:r>
      <w:r w:rsidR="00DC5847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politike, </w:t>
      </w:r>
      <w:r w:rsidR="00DC5847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por edhe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shoqëri</w:t>
      </w:r>
      <w:r w:rsidR="00DC5847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 dhe vetë sektori i 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sigurisë për të pranuar e mbështetur këtë </w:t>
      </w:r>
      <w:r w:rsidR="006F67AA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mbikëqyrje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c)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507300" w:rsidRPr="00FD17C3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mundësia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(e lidhur më shumë me burimet, ekspertizën, stafet në dispozicion dhe </w:t>
      </w:r>
      <w:proofErr w:type="spellStart"/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aksesin</w:t>
      </w:r>
      <w:proofErr w:type="spellEnd"/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tek informacioni).</w:t>
      </w:r>
    </w:p>
    <w:p w:rsidR="00507300" w:rsidRPr="00FD17C3" w:rsidRDefault="00D33EA6" w:rsidP="00FD17C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>Në Shqipëri këta faktorë kanë rezultuar problematikë, me një numër sfidash për t’u kapërcyer. Në lidhje me autoritetin, kuadri aktual ligjor</w:t>
      </w:r>
      <w:r w:rsidR="00A1260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veçanërisht ai 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për kontrollin financiar të sektorit të sigurisë, megjithëse në përgjithësi i përmbush standardet demokratike perëndimore, ende ka mungesa dhe nuk u referohet në mënyrë “eksplicite” </w:t>
      </w:r>
      <w:r w:rsidR="00E416DB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të detajuar të gjitha 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institucioneve të sigurisë. Për sa i përket </w:t>
      </w:r>
      <w:r w:rsidR="00507300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vullnetit politik, </w:t>
      </w:r>
      <w:r w:rsidR="00A1260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 Shqipëri ka qenë përherë evidente një tendencë e partisë/koalicionit qeverisës për të mbi-kontrolluar institucionet e sigurisë, mbi baza partizane, ndërsa ka penguar apo dobësuar çdo përpjekje për mbikëqyrje, </w:t>
      </w:r>
      <w:r w:rsidR="009A0D5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të iniciuar nga</w:t>
      </w:r>
      <w:r w:rsidR="00A1260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opozita</w:t>
      </w:r>
      <w:r w:rsidR="00082B1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A1260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9A0D5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brenda legjislativit</w:t>
      </w:r>
      <w:r w:rsidR="00082B1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="009A0D5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1260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nëpërmjet mekanizmave demokratikë. </w:t>
      </w: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Së fundi, në lidhje me </w:t>
      </w:r>
      <w:r w:rsidR="00A12601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aftësinë e Legjislativit për të ushtruar rolin e vet mbikëqyrës e kontrollues ndaj institucioneve të sigurisë, sidomos nëpërmjet komisioneve të përhershme parlamentare, mbetet ende shqetësim mungesa e ekspertizës, e parë kjo tek pjesëtarët e tyre por edhe tek stafet mbështetëse. </w:t>
      </w:r>
      <w:r w:rsidR="00A12601" w:rsidRPr="00FD17C3">
        <w:rPr>
          <w:rFonts w:ascii="Times New Roman" w:hAnsi="Times New Roman" w:cs="Times New Roman"/>
          <w:sz w:val="24"/>
          <w:szCs w:val="24"/>
          <w:lang w:val="sq-AL" w:bidi="he-IL"/>
        </w:rPr>
        <w:t>Janë vetëm 14 ekspertë për të tre komisionet e përhershme parlamentare që merren me sektorin e sigurisë</w:t>
      </w:r>
      <w:r w:rsidR="00082B11" w:rsidRPr="00FD17C3">
        <w:rPr>
          <w:rFonts w:ascii="Times New Roman" w:hAnsi="Times New Roman" w:cs="Times New Roman"/>
          <w:sz w:val="24"/>
          <w:szCs w:val="24"/>
          <w:lang w:val="sq-AL" w:bidi="he-IL"/>
        </w:rPr>
        <w:t>, prej të cilëve vetëm katër në KPSK</w:t>
      </w:r>
      <w:r w:rsidR="00A12601" w:rsidRPr="00FD17C3">
        <w:rPr>
          <w:rFonts w:ascii="Times New Roman" w:hAnsi="Times New Roman" w:cs="Times New Roman"/>
          <w:sz w:val="24"/>
          <w:szCs w:val="24"/>
          <w:lang w:val="sq-AL" w:bidi="he-IL"/>
        </w:rPr>
        <w:t>. Për më tepër, qarkullimet/ndryshimet e shpeshta të anëtarëve të stafeve kanë dëmtuar akumulimin e memories dhe ekspertizës institucionale, ndërsa, deputetët e opozitës, si rregull, i kanë konsideru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>a</w:t>
      </w:r>
      <w:r w:rsidR="00A12601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r 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ato të </w:t>
      </w:r>
      <w:r w:rsidR="009A0D55" w:rsidRPr="00FD17C3">
        <w:rPr>
          <w:rFonts w:ascii="Times New Roman" w:hAnsi="Times New Roman" w:cs="Times New Roman"/>
          <w:sz w:val="24"/>
          <w:szCs w:val="24"/>
          <w:lang w:val="sq-AL" w:bidi="he-IL"/>
        </w:rPr>
        <w:t>kontrolluara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nga </w:t>
      </w:r>
      <w:proofErr w:type="spellStart"/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>mazhoranca</w:t>
      </w:r>
      <w:proofErr w:type="spellEnd"/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dhe </w:t>
      </w:r>
      <w:r w:rsidR="00A12601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kanë hezituar të mbështeten në ekspertizën e 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>tyre</w:t>
      </w:r>
      <w:r w:rsidR="00A12601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, 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>në</w:t>
      </w:r>
      <w:r w:rsidR="00A12601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çdo rast që u ka lindur nevoja, në kuadrin e funksioneve të tyre parlamentare.</w:t>
      </w:r>
    </w:p>
    <w:p w:rsidR="00624FE7" w:rsidRPr="00FD17C3" w:rsidRDefault="00624FE7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një vështrim të përgjithshëm është konstatuar mungesë koordinimi midis komisioneve të përhershme parlamentare të cilët “[...] </w:t>
      </w:r>
      <w:r w:rsidRPr="00FD17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punojnë në mënyrë të pavarur, pavarësisht faktit se ata </w:t>
      </w:r>
      <w:r w:rsidRPr="00FD17C3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mund të fokusohen në të njëjtën çështje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0"/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Gjatë periudhës 2011-2012, u zhvilluan vetëm 3 interpelanca me titullarët e sektorit të sigurisë: Ministrin e Drejtësisë, Ministrin e Brendshëm dhe Ministrin e Mbrojtjes. Vetë këto interpelanca, të kërkuara kryesisht nga deputetët e opozitës, </w:t>
      </w:r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shkak të frymës së mosbesimit </w:t>
      </w:r>
      <w:proofErr w:type="spellStart"/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>mazhorancë</w:t>
      </w:r>
      <w:proofErr w:type="spellEnd"/>
      <w:r w:rsidR="00A26C7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-opozitë,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>mundën të prodhonin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ndonjë rezultat apo ndryshim në politikat ekzistuese. Gjatë viteve 2011 dhe 2012, mbikëqyrja parlamentare e zbatimit të politikave dhe legjislacionit të qeverisë për sektorin e sigurisë 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>mbeti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e dobët për shkak të dispozitave ligjore të fragmentuara dhe paqarta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sidomos të polarizimit të lartë politik dhe përplasjeve </w:t>
      </w:r>
      <w:proofErr w:type="spellStart"/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>mazhorancë</w:t>
      </w:r>
      <w:proofErr w:type="spellEnd"/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>-opozitë në komisionet dhe seancat parlamentare për këtë qëllim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46C21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Për një numër seancash dëgjimore me titullarët e institucioneve të sigurisë, në këtë periudhë, opozita e kohës ngriti pretendimin se  titullarët jepnin përgjigje që nuk për</w:t>
      </w:r>
      <w:r w:rsidR="00764F2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putheshin me pyetjet, përgjigje të gjata në formë deklaratash të përgjithshme politike, etj. </w:t>
      </w:r>
    </w:p>
    <w:p w:rsidR="005A3863" w:rsidRPr="00FD17C3" w:rsidRDefault="00624FE7" w:rsidP="00FD17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Për sa i përket mbikëqyrjes dhe kontrollit të realizuar nga Kuvendi dhe Komisioni i Sigurisë mbi sektorin e sigurisë, gjatë vitit të parë të legjislaturës së re</w:t>
      </w:r>
      <w:r w:rsidR="009F4AD2" w:rsidRPr="00FD17C3">
        <w:rPr>
          <w:rFonts w:ascii="Times New Roman" w:hAnsi="Times New Roman" w:cs="Times New Roman"/>
          <w:sz w:val="24"/>
          <w:szCs w:val="24"/>
          <w:lang w:val="sq-AL"/>
        </w:rPr>
        <w:t>, në KPSK janë zhvilluar dy seanca dëgjimore me Ministrin e Brendshëm</w:t>
      </w:r>
      <w:r w:rsidR="006A2F45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1"/>
      </w:r>
      <w:r w:rsidR="009F4AD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një seancë </w:t>
      </w:r>
      <w:r w:rsidR="005509D2" w:rsidRPr="00FD17C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F4AD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pa finalizuar me Kreun e SHISH</w:t>
      </w:r>
      <w:r w:rsidR="005509D2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2"/>
      </w:r>
      <w:r w:rsidR="009F4AD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Gjatë kësaj kohe opozita kërkoi seancë dëgjimore me Ministren e Mbrojtjes e cila për shkak të disa shtyrjeve në kohë dhe bojkotit të opozitës nuk ka mundur të zhvillohet. </w:t>
      </w:r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Në përgjithësi, nga ndjekja e disa prej mbledhjeve të KPSK apo shqyrtimi i proces-verbaleve, për ato takime ku opozita ka qenë e pranishme, </w:t>
      </w:r>
      <w:r w:rsidR="005509D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sërish </w:t>
      </w:r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>rezulton një atmosferë e polarizuar, ku palët, më shumë se takime pune, i kanë kthyer ato në tribuna deklaratash politike. Në seancën dëgjimore me Ministrin e Brendshëm, u prezantua gjendja e vështirë e rezervave dhe mjeteve për të përballuar një emergjencë të mundshme në prag të dimrit</w:t>
      </w:r>
      <w:r w:rsidR="005A3863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3"/>
      </w:r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por ndërsa deputetët e </w:t>
      </w:r>
      <w:proofErr w:type="spellStart"/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>mazhorancës</w:t>
      </w:r>
      <w:proofErr w:type="spellEnd"/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insistonin për gjetjen e rrugëve ligjore për mbështetje financiare e institucionale, opozita kërkonte vënien përpara </w:t>
      </w:r>
      <w:r w:rsidR="00A03B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>përgjegjësisë të Ministrit të Brendshëm, i cili, për hir të së vërtetës, me vetëm 45 ditë në detyrë nuk mund të bëhej përgj</w:t>
      </w:r>
      <w:r w:rsidR="005A3863" w:rsidRPr="00FD17C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37198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gjës për diçka të trashëguar nga </w:t>
      </w:r>
      <w:r w:rsidR="005A386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qeverisja e mëparshme. Nga ana tjetër, në </w:t>
      </w:r>
      <w:r w:rsidR="005509D2" w:rsidRPr="00FD17C3">
        <w:rPr>
          <w:rFonts w:ascii="Times New Roman" w:hAnsi="Times New Roman" w:cs="Times New Roman"/>
          <w:sz w:val="24"/>
          <w:szCs w:val="24"/>
          <w:lang w:val="sq-AL"/>
        </w:rPr>
        <w:t>disa</w:t>
      </w:r>
      <w:r w:rsidR="005A386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mbledhje</w:t>
      </w:r>
      <w:r w:rsidR="005509D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KPSK</w:t>
      </w:r>
      <w:r w:rsidR="005A386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ka pasur raste të mungesës së titullarit të ministrisë (të Brendshme, të Mbrojtjes) gjatë shqyrtimit të projekt-ligjeve të dërguara prej tyre, </w:t>
      </w:r>
      <w:r w:rsidR="00A03B9B">
        <w:rPr>
          <w:rFonts w:ascii="Times New Roman" w:hAnsi="Times New Roman" w:cs="Times New Roman"/>
          <w:sz w:val="24"/>
          <w:szCs w:val="24"/>
          <w:lang w:val="sq-AL"/>
        </w:rPr>
        <w:t xml:space="preserve">gjithashtu </w:t>
      </w:r>
      <w:r w:rsidR="005A386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raste </w:t>
      </w:r>
      <w:r w:rsidR="005A3863"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>kur deputetëve, anëtarë të KPSK u është tërhequr vëmendja nga kryetari, për ardhje të papërgatitur</w:t>
      </w:r>
      <w:r w:rsidR="00A03B9B">
        <w:rPr>
          <w:rFonts w:ascii="Times New Roman" w:hAnsi="Times New Roman" w:cs="Times New Roman"/>
          <w:sz w:val="24"/>
          <w:szCs w:val="24"/>
          <w:lang w:val="sq-AL"/>
        </w:rPr>
        <w:t xml:space="preserve"> në mbledhjet e KPSK, etj. </w:t>
      </w:r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>Me përjashtim të një rasti të vetëm</w:t>
      </w:r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seancat dëgjimore në të dy legjislaturat kanë qenë të natyrës </w:t>
      </w:r>
      <w:proofErr w:type="spellStart"/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>reflektive</w:t>
      </w:r>
      <w:proofErr w:type="spellEnd"/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>, si reagime ndaj zhvillimeve të momentit</w:t>
      </w:r>
      <w:r w:rsidR="00EA118A">
        <w:rPr>
          <w:rFonts w:ascii="Times New Roman" w:hAnsi="Times New Roman" w:cs="Times New Roman"/>
          <w:sz w:val="24"/>
          <w:szCs w:val="24"/>
          <w:lang w:val="sq-AL"/>
        </w:rPr>
        <w:t xml:space="preserve">. Në të kundërt, </w:t>
      </w:r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aplikimi i një qasje </w:t>
      </w:r>
      <w:proofErr w:type="spellStart"/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>proaktive</w:t>
      </w:r>
      <w:proofErr w:type="spellEnd"/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duke u dalë përpara problemeve madhore të sigurisë do të ishte shumë më produktiv dhe në të mirë të </w:t>
      </w:r>
      <w:proofErr w:type="spellStart"/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>performancës</w:t>
      </w:r>
      <w:proofErr w:type="spellEnd"/>
      <w:r w:rsidR="007942CB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së institucioneve të sigurisë. </w:t>
      </w:r>
    </w:p>
    <w:p w:rsidR="00624FE7" w:rsidRPr="00FD17C3" w:rsidRDefault="00D33EA6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Në përgjithësi</w:t>
      </w:r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>, vitet e fundit,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është konstatuar një përmirësim </w:t>
      </w:r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>dhe kujdes i shtuar i Parlamentit ndaj shoqërisë civile, e parë kjo në një përfshirje më të mirë të saj në aktivitetin e Parlamentit, në rritjen e transparencës dhe gatishmërisë për të konsideruar ekspertizën e ofruar prej saj</w:t>
      </w:r>
      <w:r w:rsidR="005509D2" w:rsidRPr="00FD17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për aspekte të ndryshme të funksioneve të Legjislativit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Megjithatë nuk kanë munguar rastet kur informacioni dhe koha e </w:t>
      </w:r>
      <w:r w:rsidR="00EA118A">
        <w:rPr>
          <w:rFonts w:ascii="Times New Roman" w:hAnsi="Times New Roman" w:cs="Times New Roman"/>
          <w:sz w:val="24"/>
          <w:szCs w:val="24"/>
          <w:lang w:val="sq-AL"/>
        </w:rPr>
        <w:t>vënë</w:t>
      </w:r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në dispozicion të shoqërisë civile për të njohur e dhënë e ekspertizë për projekt-ligje të ndryshme ka qenë e kufizuar, ose ka munguar plotësisht. Gjatë legjislaturës aktuale, të paktën në një rast, konkretisht në lidhje me Ligjin për kompanitë private të sigurisë, IDM dhe vetë përfaqësuesit e këtyre kompanive, u  mblodhën për të diskutuar “post </w:t>
      </w:r>
      <w:proofErr w:type="spellStart"/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>factum</w:t>
      </w:r>
      <w:proofErr w:type="spellEnd"/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”, kur vetë ligji ishte miratuar një ditë më parë në Kuvend. Aktualisht Kuvendi ka hartuar </w:t>
      </w:r>
      <w:r w:rsidR="00B34152" w:rsidRPr="00FD17C3">
        <w:rPr>
          <w:rFonts w:ascii="Times New Roman" w:hAnsi="Times New Roman" w:cs="Times New Roman"/>
          <w:sz w:val="24"/>
          <w:szCs w:val="24"/>
          <w:lang w:val="sq-AL"/>
        </w:rPr>
        <w:t>“M</w:t>
      </w:r>
      <w:r w:rsidR="007B0EF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anualin </w:t>
      </w:r>
      <w:r w:rsidR="00B3415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B34152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pjesëmarrjes së publikut në procesin vendimmarrës të kuvendit”,</w:t>
      </w:r>
      <w:r w:rsidR="00B34152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4"/>
      </w:r>
      <w:r w:rsidR="005509D2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B34152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për të cilin u kërkua edhe mendimi i shoqërisë civile. Versioni final i Manualit është pa dyshim një dokument i dobishëm në favor të pjesëmarrjes së shoqërisë në punën e Legjislativit</w:t>
      </w:r>
      <w:r w:rsidR="00897FA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, megjithatë</w:t>
      </w:r>
      <w:r w:rsidR="003D4BC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="00B34152" w:rsidRPr="00FD17C3">
        <w:rPr>
          <w:rFonts w:ascii="Times New Roman" w:hAnsi="Times New Roman" w:cs="Times New Roman"/>
          <w:bCs/>
          <w:sz w:val="24"/>
          <w:szCs w:val="24"/>
          <w:lang w:val="sq-AL"/>
        </w:rPr>
        <w:t>nga mënyra e kompozimit, ai ka më shumë natyrën e një “kodi”</w:t>
      </w:r>
      <w:r w:rsidR="003D4BC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më pak atë të </w:t>
      </w:r>
      <w:r w:rsidR="00B34152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një “kodi procedure”, në kuptimin </w:t>
      </w:r>
      <w:r w:rsidR="003D4BC5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dinamikës së vënies në lëvizje të gjithë procesit të pjesëmarrjes së shoqërisë civile dhe publikut si dhe të transparencës ndaj tyre për gjithë aktivitetin ligjbërës e kontrollues të Kuvendit. </w:t>
      </w:r>
    </w:p>
    <w:p w:rsidR="00FD17C3" w:rsidRDefault="00FD17C3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3F3F45" w:rsidRPr="00FD17C3" w:rsidRDefault="003F3F45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/>
          <w:i/>
          <w:sz w:val="24"/>
          <w:szCs w:val="24"/>
          <w:lang w:val="sq-AL"/>
        </w:rPr>
        <w:t>Kontrolli financiar i institucioneve të sigurisë</w:t>
      </w:r>
    </w:p>
    <w:p w:rsidR="00565483" w:rsidRPr="00FD17C3" w:rsidRDefault="00565483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Cs/>
          <w:sz w:val="24"/>
          <w:szCs w:val="24"/>
          <w:lang w:val="sq-AL"/>
        </w:rPr>
        <w:t>Duke qenë i lidhur me burimet financiare, kontrolli financiar ka potencialet për t’u bërë një mjet shumë i efektshëm në mbikëqyrjen dhe kontrollin e institucione</w:t>
      </w:r>
      <w:r w:rsidR="00C702BC" w:rsidRPr="00FD17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ve të sigurisë nga legjislativi. Parë nga aspekti i prodhimit të ligjeve, mund të thuhet që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në lidhje me kontrollin financiar të institucioneve të sigurisë në Shqipëri, pa llogaritur një numër ligjesh të reja, të miratuara çdo vit në lidhje me buxhetin e ri të shtetit, </w:t>
      </w:r>
      <w:r w:rsidR="00C702BC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kuadri ligjor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ka mbetur pothuajse ai që është krijuar para vitit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lastRenderedPageBreak/>
        <w:t>2010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 w:bidi="he-IL"/>
        </w:rPr>
        <w:footnoteReference w:id="15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.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6706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më tepër, në ndonjë rast si ai me </w:t>
      </w:r>
      <w:r w:rsidR="002507F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Ligjin 64/26.06.2014, </w:t>
      </w:r>
      <w:r w:rsidR="0096706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“Për pushtetet dhe autoritetet e drejtimit strategjik të FASH”, Kuvendit i është hequr edhe kompetenca e shprehur në mënyrë eksplicite në Ligjin e mëparshëm, për të </w:t>
      </w:r>
      <w:r w:rsidR="002507FF" w:rsidRPr="00FD17C3">
        <w:rPr>
          <w:rFonts w:ascii="Times New Roman" w:hAnsi="Times New Roman" w:cs="Times New Roman"/>
          <w:sz w:val="24"/>
          <w:szCs w:val="24"/>
          <w:lang w:val="sq-AL"/>
        </w:rPr>
        <w:t>shqyrtuar e miratuar buxhetin e mbrojtjes.</w:t>
      </w:r>
      <w:r w:rsidR="002507FF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6"/>
      </w:r>
      <w:r w:rsidR="002507FF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6706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509D2" w:rsidRPr="00FD17C3" w:rsidRDefault="00C702BC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 w:bidi="he-IL"/>
        </w:rPr>
      </w:pP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Parë nga aspekti praktik, Kuvendi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ka qenë i angazhuar në shqyrtimi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n e veprimtarisë financiare të E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>kzekutivit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(e bashkë me të edhe të institucioneve të sigurisë)</w:t>
      </w:r>
      <w:r w:rsidR="0056548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tre herë në vit: në Mars (analiza e parashikimit makro-ekonomik 3 vjeçar) Gusht (shqyrtimi i Programit Buxhetor Afatmesëm) dhe Nëntor (miratimi i Buxhetit të Shtetit)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. Në vitet 2011-2013, u konstatua një prirje e fortë për politikë partiake në komisionet parlamentare. Anëtarët e Komisionit Parlamentar të Sigurisë që i përkisnin opozitës së asaj kohe, ngritën zërin për </w:t>
      </w:r>
      <w:r w:rsidR="00EA118A">
        <w:rPr>
          <w:rFonts w:ascii="Times New Roman" w:hAnsi="Times New Roman" w:cs="Times New Roman"/>
          <w:sz w:val="24"/>
          <w:szCs w:val="24"/>
          <w:lang w:val="sq-AL" w:bidi="he-IL"/>
        </w:rPr>
        <w:t xml:space="preserve">nevojën e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një mbikëqyrje e kontroll</w:t>
      </w:r>
      <w:r w:rsidR="00EA118A">
        <w:rPr>
          <w:rFonts w:ascii="Times New Roman" w:hAnsi="Times New Roman" w:cs="Times New Roman"/>
          <w:sz w:val="24"/>
          <w:szCs w:val="24"/>
          <w:lang w:val="sq-AL" w:bidi="he-IL"/>
        </w:rPr>
        <w:t>i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më rigoroz mbi institucionet e sigurisë</w:t>
      </w:r>
      <w:r w:rsidRPr="00FD17C3">
        <w:rPr>
          <w:rStyle w:val="FootnoteReference"/>
          <w:rFonts w:ascii="Times New Roman" w:hAnsi="Times New Roman" w:cs="Times New Roman"/>
          <w:bCs/>
          <w:sz w:val="24"/>
          <w:szCs w:val="24"/>
          <w:lang w:val="sq-AL"/>
        </w:rPr>
        <w:footnoteReference w:id="17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, por kërkesat e tyre u morën në konsideratë vetëm pjesërisht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8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. I gjithë viti 2012 u karakterizua gjithashtu nga insistimi i opozitës për të kryer investigim në Ministrinë e Mbrojtjes në lidhje me ligjshmërinë e menaxhimit të burimeve (financiare, materiale, njerëzore) por pas një numër shtyrjesh, nga ana e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mazhorancës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së kohës, </w:t>
      </w:r>
      <w:r w:rsidR="005509D2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kjo përpjekje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u bllokua përfundimisht. Të njëjtin fat pati </w:t>
      </w:r>
      <w:r w:rsidR="00CD4F5F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edhe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kërkesa e opozitës</w:t>
      </w:r>
      <w:r w:rsidR="00CD4F5F" w:rsidRPr="00FD17C3">
        <w:rPr>
          <w:rFonts w:ascii="Times New Roman" w:hAnsi="Times New Roman" w:cs="Times New Roman"/>
          <w:sz w:val="24"/>
          <w:szCs w:val="24"/>
          <w:lang w:val="sq-AL" w:bidi="he-IL"/>
        </w:rPr>
        <w:t>,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në mesin e vitit 2014, për një seancë dëgjimore me Ministren e Mbrojtjes për mundësinë e përdorimit të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aseteve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të Forcave të Armatosura për trafiqe të paligjshme. </w:t>
      </w:r>
      <w:r w:rsidR="00CD4F5F" w:rsidRPr="00FD17C3">
        <w:rPr>
          <w:rFonts w:ascii="Times New Roman" w:hAnsi="Times New Roman" w:cs="Times New Roman"/>
          <w:sz w:val="24"/>
          <w:szCs w:val="24"/>
          <w:lang w:val="sq-AL" w:bidi="he-IL"/>
        </w:rPr>
        <w:t>Kërkesa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nuk u mor parasysh në atë periudhë, ndërsa fillimi i bojkotit prej opozitës në Korrik</w:t>
      </w:r>
      <w:r w:rsidR="00CD4F5F" w:rsidRPr="00FD17C3">
        <w:rPr>
          <w:rFonts w:ascii="Times New Roman" w:hAnsi="Times New Roman" w:cs="Times New Roman"/>
          <w:sz w:val="24"/>
          <w:szCs w:val="24"/>
          <w:lang w:val="sq-AL" w:bidi="he-IL"/>
        </w:rPr>
        <w:t>,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e nxori fare nga agjenda e </w:t>
      </w:r>
      <w:r w:rsidR="005509D2" w:rsidRPr="00FD17C3">
        <w:rPr>
          <w:rFonts w:ascii="Times New Roman" w:hAnsi="Times New Roman" w:cs="Times New Roman"/>
          <w:sz w:val="24"/>
          <w:szCs w:val="24"/>
          <w:lang w:val="sq-AL" w:bidi="he-IL"/>
        </w:rPr>
        <w:t>KPSK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. </w:t>
      </w:r>
    </w:p>
    <w:p w:rsidR="003335A3" w:rsidRPr="00FD17C3" w:rsidRDefault="0000696B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Për sa i përket cilësisë së raporteve për aktivitetin ekonomiko-financiar të institucion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eve të sigurisë, të paraqitura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në Komisionin e Sigurisë, në përgjithësi ato kanë pasur të meta, por sidomos në vitin 2012, ato u kundërshtuan ashpër prej deputetëve të opozitës, anëtarë të këtij Komisioni, </w:t>
      </w:r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si “jo serioze”. Sipas tyre, materialet e dërguara </w:t>
      </w:r>
      <w:r w:rsidR="00CD4F5F" w:rsidRPr="00FD17C3">
        <w:rPr>
          <w:rFonts w:ascii="Times New Roman" w:hAnsi="Times New Roman" w:cs="Times New Roman"/>
          <w:sz w:val="24"/>
          <w:szCs w:val="24"/>
          <w:lang w:val="sq-AL" w:bidi="he-IL"/>
        </w:rPr>
        <w:t>prej</w:t>
      </w:r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institucioneve të sigurisë, nuk i përmbushnin kriteret për t’u konsideruar raporte, për shkak të mungesës së informacionit, </w:t>
      </w:r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lastRenderedPageBreak/>
        <w:t xml:space="preserve">mungesës së </w:t>
      </w:r>
      <w:proofErr w:type="spellStart"/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t>detajimit</w:t>
      </w:r>
      <w:proofErr w:type="spellEnd"/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të </w:t>
      </w:r>
      <w:proofErr w:type="spellStart"/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t>të</w:t>
      </w:r>
      <w:proofErr w:type="spellEnd"/>
      <w:r w:rsidR="003335A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dhënave dhe shpjegimeve përkatëse në të dy paketat e dokumenteve: realizimi i buxhet-2012 dhe propozimet për buxhet-2013.</w:t>
      </w:r>
      <w:r w:rsidR="003335A3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9"/>
      </w:r>
      <w:r w:rsidR="003335A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10941" w:rsidRPr="00FD17C3" w:rsidRDefault="003335A3" w:rsidP="00FD17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 w:bidi="he-IL"/>
        </w:rPr>
      </w:pP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Informacioni në lidhje me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performancën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financiare të institucioneve të sigurisë i dhënë nga KLSH</w:t>
      </w:r>
      <w:r w:rsidR="0000696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, </w:t>
      </w:r>
      <w:r w:rsidR="001416E3" w:rsidRPr="00FD17C3">
        <w:rPr>
          <w:rFonts w:ascii="Times New Roman" w:hAnsi="Times New Roman" w:cs="Times New Roman"/>
          <w:sz w:val="24"/>
          <w:szCs w:val="24"/>
          <w:lang w:val="sq-AL" w:bidi="he-IL"/>
        </w:rPr>
        <w:t>“</w:t>
      </w:r>
      <w:r w:rsidR="001416E3" w:rsidRPr="00FD17C3">
        <w:rPr>
          <w:rFonts w:ascii="Times New Roman" w:hAnsi="Times New Roman" w:cs="Times New Roman"/>
          <w:i/>
          <w:sz w:val="24"/>
          <w:szCs w:val="24"/>
          <w:lang w:val="sq-AL"/>
        </w:rPr>
        <w:t>si agjent i Kuvendit për sigurimin e miradministrimit të fondeve publike</w:t>
      </w:r>
      <w:r w:rsidR="001416E3" w:rsidRPr="00FD17C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1416E3"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20"/>
      </w:r>
      <w:r w:rsidR="001416E3" w:rsidRPr="00FD17C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416E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</w:t>
      </w:r>
      <w:r w:rsidR="0000696B" w:rsidRPr="00FD17C3">
        <w:rPr>
          <w:rFonts w:ascii="Times New Roman" w:hAnsi="Times New Roman" w:cs="Times New Roman"/>
          <w:sz w:val="24"/>
          <w:szCs w:val="24"/>
          <w:lang w:val="sq-AL" w:bidi="he-IL"/>
        </w:rPr>
        <w:t>gjithashtu,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ka qenë i kufizuar dhe skematik.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 w:bidi="he-IL"/>
        </w:rPr>
        <w:footnoteReference w:id="21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Për më tepër, nga 158 </w:t>
      </w:r>
      <w:proofErr w:type="spellStart"/>
      <w:r w:rsidR="001416E3" w:rsidRPr="00FD17C3">
        <w:rPr>
          <w:rFonts w:ascii="Times New Roman" w:hAnsi="Times New Roman" w:cs="Times New Roman"/>
          <w:sz w:val="24"/>
          <w:szCs w:val="24"/>
          <w:lang w:val="sq-AL" w:bidi="he-IL"/>
        </w:rPr>
        <w:t>auditime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të kryera nga KLSH gjatë vitit 2012 (të cilat mbulonin një periudhë 2-3 vjeçare) vetëm një </w:t>
      </w:r>
      <w:r w:rsidR="00E3023E" w:rsidRPr="00FD17C3">
        <w:rPr>
          <w:rFonts w:ascii="Times New Roman" w:hAnsi="Times New Roman" w:cs="Times New Roman"/>
          <w:sz w:val="24"/>
          <w:szCs w:val="24"/>
          <w:lang w:val="sq-AL" w:bidi="he-IL"/>
        </w:rPr>
        <w:t>ishte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kryer në Ministrinë e Brendshme dhe një në S</w:t>
      </w:r>
      <w:r w:rsidR="00E3023E" w:rsidRPr="00FD17C3">
        <w:rPr>
          <w:rFonts w:ascii="Times New Roman" w:hAnsi="Times New Roman" w:cs="Times New Roman"/>
          <w:sz w:val="24"/>
          <w:szCs w:val="24"/>
          <w:lang w:val="sq-AL" w:bidi="he-IL"/>
        </w:rPr>
        <w:t>H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ISH.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 w:bidi="he-IL"/>
        </w:rPr>
        <w:footnoteReference w:id="22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</w:t>
      </w:r>
      <w:r w:rsidR="00E3023E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Nga raporti i KLSH i vitit 2014, që i referohej aktivitetit financiar për vitin 2013, të institucioneve qendrore dhe lokale, rezultonte të ishin kryer gjithsej </w:t>
      </w:r>
      <w:r w:rsidR="001416E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164 </w:t>
      </w:r>
      <w:proofErr w:type="spellStart"/>
      <w:r w:rsidR="001416E3" w:rsidRPr="00FD17C3">
        <w:rPr>
          <w:rFonts w:ascii="Times New Roman" w:hAnsi="Times New Roman" w:cs="Times New Roman"/>
          <w:sz w:val="24"/>
          <w:szCs w:val="24"/>
          <w:lang w:val="sq-AL" w:bidi="he-IL"/>
        </w:rPr>
        <w:t>auditime</w:t>
      </w:r>
      <w:proofErr w:type="spellEnd"/>
      <w:r w:rsidR="00E3023E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. Në lidhje me institucionet e sigurisë, në këtë raport përmendej vetëm fakti që ishte kryer një kontroll në Ministrinë e Mbrojtjes dhe një në Drejtorinë e Përgjithshme të Policisë së Shtetit, por ndërsa për të parën, </w:t>
      </w:r>
      <w:r w:rsidR="00610941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nuk thuhej më asgjë, për të dytën, kishte vetëm të dhënën që ishin gjetur shkelje në shumën </w:t>
      </w:r>
      <w:r w:rsidR="001416E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928 mijë </w:t>
      </w:r>
      <w:r w:rsidR="00610941" w:rsidRPr="00FD17C3">
        <w:rPr>
          <w:rFonts w:ascii="Times New Roman" w:hAnsi="Times New Roman" w:cs="Times New Roman"/>
          <w:sz w:val="24"/>
          <w:szCs w:val="24"/>
          <w:lang w:val="sq-AL" w:bidi="he-IL"/>
        </w:rPr>
        <w:t>lekë</w:t>
      </w:r>
      <w:r w:rsidR="00610941" w:rsidRPr="00FD17C3">
        <w:rPr>
          <w:rStyle w:val="FootnoteReference"/>
          <w:rFonts w:ascii="Times New Roman" w:hAnsi="Times New Roman" w:cs="Times New Roman"/>
          <w:sz w:val="24"/>
          <w:szCs w:val="24"/>
          <w:lang w:val="sq-AL" w:bidi="he-IL"/>
        </w:rPr>
        <w:footnoteReference w:id="23"/>
      </w:r>
      <w:r w:rsidR="00610941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. </w:t>
      </w:r>
    </w:p>
    <w:p w:rsidR="003335A3" w:rsidRPr="00FD17C3" w:rsidRDefault="003335A3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 w:bidi="he-I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Gjatë periudhës 2011-2013 </w:t>
      </w:r>
      <w:r w:rsidR="000077EB" w:rsidRPr="00FD17C3">
        <w:rPr>
          <w:rFonts w:ascii="Times New Roman" w:hAnsi="Times New Roman" w:cs="Times New Roman"/>
          <w:sz w:val="24"/>
          <w:szCs w:val="24"/>
          <w:lang w:val="sq-AL"/>
        </w:rPr>
        <w:t>pati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një presion në rritje në Parlament, në mënyrë të veçantë nga ish opozita, në lidhje me praktikat e prokurimit në sektorin e sigurisë në Shqipëri. </w:t>
      </w:r>
      <w:r w:rsidR="00AC0D6B" w:rsidRPr="00FD17C3">
        <w:rPr>
          <w:rFonts w:ascii="Times New Roman" w:hAnsi="Times New Roman" w:cs="Times New Roman"/>
          <w:sz w:val="24"/>
          <w:szCs w:val="24"/>
          <w:lang w:val="sq-AL"/>
        </w:rPr>
        <w:t>Aktualisht,</w:t>
      </w:r>
      <w:r w:rsidR="000077EB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77E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Ligji Nr. 9643 (2006) “Për Prokurimin Publik” (LPP) me gjithë </w:t>
      </w:r>
      <w:proofErr w:type="spellStart"/>
      <w:r w:rsidR="000077EB" w:rsidRPr="00FD17C3">
        <w:rPr>
          <w:rFonts w:ascii="Times New Roman" w:hAnsi="Times New Roman" w:cs="Times New Roman"/>
          <w:sz w:val="24"/>
          <w:szCs w:val="24"/>
          <w:lang w:val="sq-AL" w:bidi="he-IL"/>
        </w:rPr>
        <w:t>amendimet</w:t>
      </w:r>
      <w:proofErr w:type="spellEnd"/>
      <w:r w:rsidR="000077E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e bëra me Ligjin Nr. 131 (2012) 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>duke e sjellë</w:t>
      </w:r>
      <w:r w:rsidR="000077E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</w:t>
      </w:r>
      <w:r w:rsidR="000077EB"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 xml:space="preserve">përgjithësisht në linjë me </w:t>
      </w:r>
      <w:proofErr w:type="spellStart"/>
      <w:r w:rsidR="000077EB"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>acquis</w:t>
      </w:r>
      <w:proofErr w:type="spellEnd"/>
      <w:r w:rsidR="00936D03"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>,</w:t>
      </w:r>
      <w:r w:rsidR="000077EB" w:rsidRPr="00FD17C3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sq-AL"/>
        </w:rPr>
        <w:footnoteReference w:id="24"/>
      </w:r>
      <w:r w:rsidR="000077EB"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 xml:space="preserve"> 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>ende</w:t>
      </w:r>
      <w:r w:rsidR="00AC0D6B"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 xml:space="preserve"> 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>lejon një farë</w:t>
      </w:r>
      <w:r w:rsidR="00936D0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mungese transparence duke pranuar</w:t>
      </w:r>
      <w:r w:rsidR="000077E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përdorimin e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“</w:t>
      </w:r>
      <w:r w:rsidRPr="00EA118A">
        <w:rPr>
          <w:rFonts w:ascii="Times New Roman" w:hAnsi="Times New Roman" w:cs="Times New Roman"/>
          <w:i/>
          <w:sz w:val="24"/>
          <w:szCs w:val="24"/>
          <w:lang w:val="sq-AL" w:bidi="he-IL"/>
        </w:rPr>
        <w:t>procedura</w:t>
      </w:r>
      <w:r w:rsidR="000077EB" w:rsidRPr="00EA118A">
        <w:rPr>
          <w:rFonts w:ascii="Times New Roman" w:hAnsi="Times New Roman" w:cs="Times New Roman"/>
          <w:i/>
          <w:sz w:val="24"/>
          <w:szCs w:val="24"/>
          <w:lang w:val="sq-AL" w:bidi="he-IL"/>
        </w:rPr>
        <w:t>ve</w:t>
      </w:r>
      <w:r w:rsidRPr="00EA118A">
        <w:rPr>
          <w:rFonts w:ascii="Times New Roman" w:hAnsi="Times New Roman" w:cs="Times New Roman"/>
          <w:i/>
          <w:sz w:val="24"/>
          <w:szCs w:val="24"/>
          <w:lang w:val="sq-AL" w:bidi="he-IL"/>
        </w:rPr>
        <w:t xml:space="preserve"> specifike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” kur kjo është e justifikuar nga “</w:t>
      </w:r>
      <w:r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>interesat e sigurisë kombëtare”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25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>Për sa i përket sektorit të mbrojtjes, m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e gjithë konkluzionin e Komisionit të BE që: “</w:t>
      </w:r>
      <w:r w:rsidRPr="00FD17C3">
        <w:rPr>
          <w:rFonts w:ascii="Times New Roman" w:hAnsi="Times New Roman" w:cs="Times New Roman"/>
          <w:i/>
          <w:sz w:val="24"/>
          <w:szCs w:val="24"/>
          <w:lang w:val="sq-AL" w:bidi="he-IL"/>
        </w:rPr>
        <w:t>...dispozitat ligjore...në prokurimet e mbrojtjes janë me të meta...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”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26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, kuadri ligjor në këtë fushë ka mbetur i pandryshuar. Ai vijon të rregullohet me VKM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Nr.1403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(2008)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.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Kuadri ligjor shqiptar nuk ka dispozita që t’i lejojnë Parlamentit të kërkojë informacion apo të hetojë për çdo kontratë prokurimi për pajisje apo shërbime në sektorin e sigurisë. Dhënia e këtij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lastRenderedPageBreak/>
        <w:t xml:space="preserve">informacioni është lënë në vullnetin e Qeverisë, pas vlerësimit të saj në lidhje me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impaktin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e kësaj kontrate në sigurinë kombëtare  dhe në buxhetin e shtetit. Deri tani ka vetëm dy raste kur kontrata relativisht tepër të shtrenjta janë dërguar në Parlament për miratim, por vetëm njëra prej tyre, kontrata e Ministrisë së Mbrojtjes në lidhje me helikopterët e transportit të mesëm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27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i takon periudhës 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>së vonë (shqyrtuar në vitin 2011 dhe pastaj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>,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për 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>disa modifikime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>,</w:t>
      </w:r>
      <w:r w:rsidR="00936D03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në vitin 2014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).  </w:t>
      </w:r>
    </w:p>
    <w:p w:rsidR="003335A3" w:rsidRPr="00FD17C3" w:rsidRDefault="003335A3" w:rsidP="00FD17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 w:bidi="he-IL"/>
        </w:rPr>
      </w:pP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Gjatë gjithë vitit 2012 përfaqësuesit e opozitës në Komisionin Parlamentar të Sigurisë insistuan për të hetuar prokurimet e kryera nga Shërbimi Informativ Ushtarak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28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për pajisje, të cilat në pikëpamjen e tyre, ishin destinuar për të përgjuar komunikimet e opozitës. Me gjithë përpjekjet, sikurse </w:t>
      </w:r>
      <w:r w:rsidR="001C5042"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u përmend 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më lart,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mazhoranca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arriti ta bllokonte përfundimisht finalizimin e kësaj nisme. </w:t>
      </w:r>
    </w:p>
    <w:p w:rsidR="003335A3" w:rsidRPr="00FD17C3" w:rsidRDefault="003335A3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Një tjetër problem në lidhje me prokurimet në sektorin sigurisë është aplikimi i “dorës së butë” në ndëshkimet e dhëna për shkeljet ligjore, në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>disproporcion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kjo me nivelin e shkeljes. Kështu, p.sh, gjatë vitit 2012, KLSH gjeti që mbi 50% e dëmit ekonomik të shkaktuar në prokurimet publike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29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, për shkak të moszbatimit të kuadrit ligjor  e rregulloreve, 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>kishte ndodhur në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Ministri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>n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ë </w:t>
      </w:r>
      <w:r w:rsidR="00AC0D6B" w:rsidRPr="00FD17C3">
        <w:rPr>
          <w:rFonts w:ascii="Times New Roman" w:hAnsi="Times New Roman" w:cs="Times New Roman"/>
          <w:sz w:val="24"/>
          <w:szCs w:val="24"/>
          <w:lang w:val="sq-AL" w:bidi="he-IL"/>
        </w:rPr>
        <w:t>e</w:t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Brendshme, megjithatë masat ndëshkuese konsistuan vetëm në një person të pushuar nga puna dhe tre të tjerë të lënë në kompetencën e Agjencisë së Prokurimit Publik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30"/>
      </w:r>
      <w:r w:rsidRPr="00FD17C3">
        <w:rPr>
          <w:rFonts w:ascii="Times New Roman" w:hAnsi="Times New Roman" w:cs="Times New Roman"/>
          <w:sz w:val="24"/>
          <w:szCs w:val="24"/>
          <w:lang w:val="sq-AL" w:bidi="he-IL"/>
        </w:rPr>
        <w:t xml:space="preserve"> për të vendosur për masën ndëshkimore.</w:t>
      </w:r>
      <w:r w:rsidRPr="00FD17C3">
        <w:rPr>
          <w:rStyle w:val="FootnoteReference"/>
          <w:rFonts w:ascii="Times New Roman" w:hAnsi="Times New Roman" w:cs="Times New Roman"/>
          <w:sz w:val="24"/>
          <w:szCs w:val="24"/>
          <w:lang w:val="sq-AL" w:bidi="he-IL"/>
        </w:rPr>
        <w:footnoteReference w:id="31"/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A118A" w:rsidRDefault="00EA118A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96A99" w:rsidRPr="00FD17C3" w:rsidRDefault="00831B6D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/>
          <w:i/>
          <w:sz w:val="24"/>
          <w:szCs w:val="24"/>
          <w:lang w:val="sq-AL"/>
        </w:rPr>
        <w:t>Si përfundim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parlamentarizmi në Shqipëri </w:t>
      </w:r>
      <w:r w:rsidR="003968BD" w:rsidRPr="00FD17C3">
        <w:rPr>
          <w:rFonts w:ascii="Times New Roman" w:hAnsi="Times New Roman" w:cs="Times New Roman"/>
          <w:sz w:val="24"/>
          <w:szCs w:val="24"/>
          <w:lang w:val="sq-AL"/>
        </w:rPr>
        <w:t>ka përbërë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një komponent të rëndësishëm të ecjes së vendit në rrugën e demokracisë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me gjithë ulje-ngritjet e njohura tashmë të këtyre proceseve, të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>shoqëruara shpesh nga polarizime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politike të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skajshme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801F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Brenda këtij procesi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kompleks</w:t>
      </w:r>
      <w:r w:rsidR="002801F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zhvillimi, Komisioni Parlamentar i Sigurisë Kombëtare ka gjetur vendin dhe rolin e vet, me gjithë sfidat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në fushën e sigurisë, </w:t>
      </w:r>
      <w:r w:rsidR="002801FC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shkak të natyrës së </w:t>
      </w:r>
      <w:r w:rsidR="00C640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ndryshme të kërcënimeve dhe rreziqeve të kohës, por edhe të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natyrës së </w:t>
      </w:r>
      <w:r w:rsidR="00C640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vetë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institucioneve të sigurisë</w:t>
      </w:r>
      <w:r w:rsidR="00C640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tradicionalisht të mbyllura </w:t>
      </w:r>
      <w:r w:rsidR="00B96A9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="00B96A99" w:rsidRPr="00FD17C3">
        <w:rPr>
          <w:rFonts w:ascii="Times New Roman" w:hAnsi="Times New Roman" w:cs="Times New Roman"/>
          <w:sz w:val="24"/>
          <w:szCs w:val="24"/>
          <w:lang w:val="sq-AL"/>
        </w:rPr>
        <w:t>rezistente</w:t>
      </w:r>
      <w:proofErr w:type="spellEnd"/>
      <w:r w:rsidR="00B96A9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ndaj ndryshimit. Megjithatë, ndërsa në aspektin e shqyrtimit të projekt-ligjeve roli i Komisionit të Sigurisë ka qenë i ndjeshëm dhe ka ardhur në rritje, nuk mund të thuhet e njëjta gjë për rolin e tij mbikëqyrës e kontrollues ndaj institucioneve të sigurisë. 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>Përgjithësisht nismat në këtë drejtim kanë qenë të pakta</w:t>
      </w:r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Në vend të orientimit nga një qasje </w:t>
      </w:r>
      <w:proofErr w:type="spellStart"/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>proaktive</w:t>
      </w:r>
      <w:proofErr w:type="spellEnd"/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ato kanë qenë më shumë </w:t>
      </w:r>
      <w:proofErr w:type="spellStart"/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>reflektive</w:t>
      </w:r>
      <w:proofErr w:type="spellEnd"/>
      <w:r w:rsidR="003E03A0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si reagime ndaj zhvillimeve të momentit. Për rrjedhojë 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kanë prodhuar më shumë tension brenda Komisionit dhe 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>kanë dhënë rezultat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>et e pritshme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>ndaj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performancë</w:t>
      </w:r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>s</w:t>
      </w:r>
      <w:proofErr w:type="spellEnd"/>
      <w:r w:rsidR="00B35FE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së 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>institucione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ve të</w:t>
      </w:r>
      <w:r w:rsidR="00F706B7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sigurisë. </w:t>
      </w:r>
    </w:p>
    <w:p w:rsidR="00C640AD" w:rsidRPr="00FD17C3" w:rsidRDefault="00C640AD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82CB2" w:rsidRPr="00FD17C3" w:rsidRDefault="00882CB2" w:rsidP="00FD17C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b/>
          <w:i/>
          <w:sz w:val="24"/>
          <w:szCs w:val="24"/>
          <w:lang w:val="sq-AL"/>
        </w:rPr>
        <w:t>Rekomandime</w:t>
      </w:r>
    </w:p>
    <w:p w:rsidR="00882CB2" w:rsidRDefault="00784EB5" w:rsidP="00FD17C3">
      <w:pPr>
        <w:numPr>
          <w:ilvl w:val="0"/>
          <w:numId w:val="2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Me gjithë punën e bërë për plotësimin e kuadrit ligjor në </w:t>
      </w:r>
      <w:r w:rsidR="006564D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lidhje me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funksionimin, mbikëqyrjen dhe kontrollin ndaj sektorit të sigurisë, është e nevojshme që ky legjislacion të rishikohet e plotësohet më tej, me qëllim  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>shmangien e hapësirave ligjore që pe</w:t>
      </w:r>
      <w:r w:rsidR="00C640AD" w:rsidRPr="00FD17C3">
        <w:rPr>
          <w:rFonts w:ascii="Times New Roman" w:hAnsi="Times New Roman" w:cs="Times New Roman"/>
          <w:sz w:val="24"/>
          <w:szCs w:val="24"/>
          <w:lang w:val="sq-AL"/>
        </w:rPr>
        <w:t>ngojnë një kontroll efektiv të L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egjislativit mbi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të gjitha institucionet e sigurisë</w:t>
      </w:r>
      <w:r w:rsidR="006564D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(sidomos në aspektin financiar)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882CB2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F2756" w:rsidRPr="00FD17C3" w:rsidRDefault="006F2756" w:rsidP="006F2756">
      <w:pPr>
        <w:numPr>
          <w:ilvl w:val="0"/>
          <w:numId w:val="2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Me prioritet duhet të bëhet plotësimi i kuadrit ligjor për mbikëqyrjen dhe kontrollin parlamentar mbi shërbimeve informative në Shqipëri. </w:t>
      </w:r>
    </w:p>
    <w:p w:rsidR="00B642C6" w:rsidRPr="00FD17C3" w:rsidRDefault="006564D3" w:rsidP="00FD17C3">
      <w:pPr>
        <w:numPr>
          <w:ilvl w:val="0"/>
          <w:numId w:val="2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="00B642C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Legjislativi duhet të përsosë praktikat përkatëse të mbikëqyrjes e kontrollit të institucioneve të sigurisë, në aspektin e </w:t>
      </w:r>
      <w:r w:rsidR="00FD17C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metodologjisë,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procedurave por edhe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periodicitetit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të tyre. Në këtë </w:t>
      </w:r>
      <w:r w:rsidR="00C640AD" w:rsidRPr="00FD17C3">
        <w:rPr>
          <w:rFonts w:ascii="Times New Roman" w:hAnsi="Times New Roman" w:cs="Times New Roman"/>
          <w:sz w:val="24"/>
          <w:szCs w:val="24"/>
          <w:lang w:val="sq-AL"/>
        </w:rPr>
        <w:t>kuadër,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B642C6" w:rsidRPr="00FD17C3">
        <w:rPr>
          <w:rFonts w:ascii="Times New Roman" w:hAnsi="Times New Roman" w:cs="Times New Roman"/>
          <w:sz w:val="24"/>
          <w:szCs w:val="24"/>
          <w:lang w:val="sq-AL"/>
        </w:rPr>
        <w:t>uhet të përmirësohet koordinimi ndërmjet tr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B642C6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komisioneve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të përhershme </w:t>
      </w:r>
      <w:r w:rsidR="00B642C6" w:rsidRPr="00FD17C3">
        <w:rPr>
          <w:rFonts w:ascii="Times New Roman" w:hAnsi="Times New Roman" w:cs="Times New Roman"/>
          <w:sz w:val="24"/>
          <w:szCs w:val="24"/>
          <w:lang w:val="sq-AL"/>
        </w:rPr>
        <w:t>parlamentare që mbikëqyrin sektorin e sigurisë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, duke shmangur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njëherazi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dublikimet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e panevojshme, </w:t>
      </w:r>
      <w:r w:rsidR="003B475A" w:rsidRPr="00FD17C3">
        <w:rPr>
          <w:rFonts w:ascii="Times New Roman" w:hAnsi="Times New Roman" w:cs="Times New Roman"/>
          <w:sz w:val="24"/>
          <w:szCs w:val="24"/>
          <w:lang w:val="sq-AL"/>
        </w:rPr>
        <w:t>por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edhe hapësirat </w:t>
      </w:r>
      <w:r w:rsidR="00413B3E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 mundshme </w:t>
      </w:r>
      <w:r w:rsidR="00FD17C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për të mbetur </w:t>
      </w:r>
      <w:r w:rsidR="00413B3E" w:rsidRPr="00FD17C3">
        <w:rPr>
          <w:rFonts w:ascii="Times New Roman" w:hAnsi="Times New Roman" w:cs="Times New Roman"/>
          <w:sz w:val="24"/>
          <w:szCs w:val="24"/>
          <w:lang w:val="sq-AL"/>
        </w:rPr>
        <w:t>jashtë kësaj mbikëqyrje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6C0B09" w:rsidRPr="00FD17C3" w:rsidRDefault="00FD17C3" w:rsidP="00FD17C3">
      <w:pPr>
        <w:numPr>
          <w:ilvl w:val="0"/>
          <w:numId w:val="2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>Kuvendit</w:t>
      </w:r>
      <w:r w:rsidR="006C0B0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komisioneve të përhershme të tij u duhet siguruar një mbështetje më e fortë teknike, me qëllim mundësimin e një roli më të mirë mbikëqyrës e kontrollues të Legjislativit mbi </w:t>
      </w:r>
      <w:r w:rsidR="00C640AD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aktivitetin e përgjithshëm dhe </w:t>
      </w:r>
      <w:r w:rsidR="006C0B0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mënyrën e menaxhimit të burimeve (së pari ato financiare) nga sektori i sigurisë.  </w:t>
      </w:r>
    </w:p>
    <w:p w:rsidR="00882CB2" w:rsidRPr="00FD17C3" w:rsidRDefault="00882CB2" w:rsidP="00FD17C3">
      <w:pPr>
        <w:numPr>
          <w:ilvl w:val="0"/>
          <w:numId w:val="2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Transparenca në lidhje me menaxhimin e fondeve publike në sektorin e sigurisë duhet të rritet e përsoset duke përmirësuar informimin e </w:t>
      </w:r>
      <w:r w:rsidR="00FD17C3" w:rsidRPr="00FD17C3">
        <w:rPr>
          <w:rFonts w:ascii="Times New Roman" w:hAnsi="Times New Roman" w:cs="Times New Roman"/>
          <w:sz w:val="24"/>
          <w:szCs w:val="24"/>
          <w:lang w:val="sq-AL"/>
        </w:rPr>
        <w:t>Kuvendit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dhe publikut, e parë kjo në aspektin sasior (</w:t>
      </w:r>
      <w:proofErr w:type="spellStart"/>
      <w:r w:rsidRPr="00FD17C3">
        <w:rPr>
          <w:rFonts w:ascii="Times New Roman" w:hAnsi="Times New Roman" w:cs="Times New Roman"/>
          <w:sz w:val="24"/>
          <w:szCs w:val="24"/>
          <w:lang w:val="sq-AL"/>
        </w:rPr>
        <w:t>website</w:t>
      </w:r>
      <w:proofErr w:type="spellEnd"/>
      <w:r w:rsidRPr="00FD17C3">
        <w:rPr>
          <w:rFonts w:ascii="Times New Roman" w:hAnsi="Times New Roman" w:cs="Times New Roman"/>
          <w:sz w:val="24"/>
          <w:szCs w:val="24"/>
          <w:lang w:val="sq-AL"/>
        </w:rPr>
        <w:t>-t, publikimet elektronike e të printuara) por sidomos në aspektin cilësor (cilësia e raporteve, informacioneve etj)</w:t>
      </w:r>
    </w:p>
    <w:p w:rsidR="00882CB2" w:rsidRPr="00FD17C3" w:rsidRDefault="00882CB2" w:rsidP="00FD17C3">
      <w:pPr>
        <w:numPr>
          <w:ilvl w:val="0"/>
          <w:numId w:val="2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Roli mbikëqyrës dhe kontrollues i Parlamentit ndaj sektorit të sigurisë, do të fuqizohej së tepërmi nëse do të </w:t>
      </w:r>
      <w:r w:rsidR="006C0B09" w:rsidRPr="00FD17C3">
        <w:rPr>
          <w:rFonts w:ascii="Times New Roman" w:hAnsi="Times New Roman" w:cs="Times New Roman"/>
          <w:sz w:val="24"/>
          <w:szCs w:val="24"/>
          <w:lang w:val="sq-AL"/>
        </w:rPr>
        <w:t>realizohej një bashkëpunim më i mirë me organizatat e shoqërisë civile.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Duke qenë se ato kanë ekspertizë dhe kapacitete të çmuara në këtë drejtim, angazhimi i tyre do të rezultonte me dobi të </w:t>
      </w:r>
      <w:r w:rsidR="006C0B0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dyanshme: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do ta bënte më efecient </w:t>
      </w:r>
      <w:r w:rsidR="006C0B09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këtë kontroll (nga aspekti i cilësisë dhe kostos)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por </w:t>
      </w:r>
      <w:r w:rsidR="00FD17C3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do të ndikonte </w:t>
      </w:r>
      <w:r w:rsidR="00784EB5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pozitivisht në luftimin e apatisë dhe </w:t>
      </w:r>
      <w:r w:rsidR="003968BD" w:rsidRPr="00FD17C3">
        <w:rPr>
          <w:rFonts w:ascii="Times New Roman" w:hAnsi="Times New Roman" w:cs="Times New Roman"/>
          <w:sz w:val="24"/>
          <w:szCs w:val="24"/>
          <w:lang w:val="sq-AL"/>
        </w:rPr>
        <w:t>një qëndrim</w:t>
      </w:r>
      <w:r w:rsidR="00784EB5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më aktiv të shoqërisë shqiptare në tërësi ndaj çështjeve </w:t>
      </w:r>
      <w:r w:rsidR="00FD17C3" w:rsidRPr="00FD17C3">
        <w:rPr>
          <w:rFonts w:ascii="Times New Roman" w:hAnsi="Times New Roman" w:cs="Times New Roman"/>
          <w:sz w:val="24"/>
          <w:szCs w:val="24"/>
          <w:lang w:val="sq-AL"/>
        </w:rPr>
        <w:t>të rëndësishme</w:t>
      </w:r>
      <w:r w:rsidR="00784EB5" w:rsidRPr="00FD17C3">
        <w:rPr>
          <w:rFonts w:ascii="Times New Roman" w:hAnsi="Times New Roman" w:cs="Times New Roman"/>
          <w:sz w:val="24"/>
          <w:szCs w:val="24"/>
          <w:lang w:val="sq-AL"/>
        </w:rPr>
        <w:t xml:space="preserve"> politike të vendit</w:t>
      </w:r>
      <w:r w:rsidRPr="00FD17C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82CB2" w:rsidRPr="00FD17C3" w:rsidRDefault="00882CB2" w:rsidP="00FD17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 w:bidi="he-IL"/>
        </w:rPr>
      </w:pPr>
    </w:p>
    <w:p w:rsidR="003335A3" w:rsidRPr="00FD17C3" w:rsidRDefault="003335A3" w:rsidP="00FD17C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65483" w:rsidRPr="00FD17C3" w:rsidRDefault="00565483" w:rsidP="00FD17C3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565483" w:rsidRPr="00FD17C3" w:rsidSect="00445C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FB" w:rsidRDefault="008265FB" w:rsidP="00D33EA6">
      <w:pPr>
        <w:spacing w:after="0" w:line="240" w:lineRule="auto"/>
      </w:pPr>
      <w:r>
        <w:separator/>
      </w:r>
    </w:p>
  </w:endnote>
  <w:endnote w:type="continuationSeparator" w:id="0">
    <w:p w:rsidR="008265FB" w:rsidRDefault="008265FB" w:rsidP="00D3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3266"/>
      <w:docPartObj>
        <w:docPartGallery w:val="Page Numbers (Bottom of Page)"/>
        <w:docPartUnique/>
      </w:docPartObj>
    </w:sdtPr>
    <w:sdtContent>
      <w:p w:rsidR="00FD17C3" w:rsidRDefault="00FA5E5E">
        <w:pPr>
          <w:pStyle w:val="Footer"/>
          <w:jc w:val="right"/>
        </w:pPr>
        <w:fldSimple w:instr=" PAGE   \* MERGEFORMAT ">
          <w:r w:rsidR="006F2756">
            <w:rPr>
              <w:noProof/>
            </w:rPr>
            <w:t>13</w:t>
          </w:r>
        </w:fldSimple>
      </w:p>
    </w:sdtContent>
  </w:sdt>
  <w:p w:rsidR="00FD17C3" w:rsidRDefault="00FD1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FB" w:rsidRDefault="008265FB" w:rsidP="00D33EA6">
      <w:pPr>
        <w:spacing w:after="0" w:line="240" w:lineRule="auto"/>
      </w:pPr>
      <w:r>
        <w:separator/>
      </w:r>
    </w:p>
  </w:footnote>
  <w:footnote w:type="continuationSeparator" w:id="0">
    <w:p w:rsidR="008265FB" w:rsidRDefault="008265FB" w:rsidP="00D33EA6">
      <w:pPr>
        <w:spacing w:after="0" w:line="240" w:lineRule="auto"/>
      </w:pPr>
      <w:r>
        <w:continuationSeparator/>
      </w:r>
    </w:p>
  </w:footnote>
  <w:footnote w:id="1">
    <w:p w:rsidR="00897FA5" w:rsidRPr="008F11AD" w:rsidRDefault="00897FA5" w:rsidP="008F11AD">
      <w:pPr>
        <w:pStyle w:val="FootnoteText"/>
        <w:rPr>
          <w:lang w:val="en-US"/>
        </w:rPr>
      </w:pPr>
      <w:r w:rsidRPr="008F11AD">
        <w:rPr>
          <w:rStyle w:val="FootnoteReference"/>
          <w:lang w:val="en-US"/>
        </w:rPr>
        <w:footnoteRef/>
      </w:r>
      <w:r w:rsidRPr="008F11AD">
        <w:rPr>
          <w:lang w:val="en-US"/>
        </w:rPr>
        <w:t xml:space="preserve"> “</w:t>
      </w:r>
      <w:r w:rsidRPr="008F11AD">
        <w:rPr>
          <w:bCs/>
          <w:lang w:val="en-US"/>
        </w:rPr>
        <w:t xml:space="preserve">Common norms and good practices ... in the EU”, f.46,  </w:t>
      </w:r>
      <w:hyperlink r:id="rId1" w:history="1">
        <w:r w:rsidRPr="008F11AD">
          <w:rPr>
            <w:rStyle w:val="Hyperlink"/>
            <w:lang w:val="en-US"/>
          </w:rPr>
          <w:t>http://www.cess.org/doc.php?id=11</w:t>
        </w:r>
      </w:hyperlink>
    </w:p>
  </w:footnote>
  <w:footnote w:id="2">
    <w:p w:rsidR="00897FA5" w:rsidRPr="00651E2D" w:rsidRDefault="00897FA5" w:rsidP="00D33EA6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51E2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51E2D">
        <w:rPr>
          <w:rFonts w:ascii="Times New Roman" w:hAnsi="Times New Roman" w:cs="Times New Roman"/>
          <w:sz w:val="20"/>
          <w:szCs w:val="20"/>
        </w:rPr>
        <w:t xml:space="preserve"> - </w:t>
      </w:r>
      <w:r w:rsidRPr="00651E2D">
        <w:rPr>
          <w:rFonts w:ascii="Times New Roman" w:hAnsi="Times New Roman" w:cs="Times New Roman"/>
          <w:sz w:val="20"/>
          <w:szCs w:val="20"/>
          <w:lang w:bidi="he-IL"/>
        </w:rPr>
        <w:t xml:space="preserve">SIGMA Paper No. 48, pg 7, at: </w:t>
      </w:r>
      <w:hyperlink r:id="rId2" w:history="1">
        <w:r w:rsidRPr="00651E2D">
          <w:rPr>
            <w:rStyle w:val="Hyperlink"/>
            <w:rFonts w:ascii="Times New Roman" w:hAnsi="Times New Roman" w:cs="Times New Roman"/>
            <w:sz w:val="20"/>
            <w:szCs w:val="20"/>
          </w:rPr>
          <w:t>http://search.oecd.org/officialdocuments/publicdisplaydocumentpdf/?cote=GOV/SIGMA%282012%291&amp;docLanguage=En</w:t>
        </w:r>
      </w:hyperlink>
    </w:p>
  </w:footnote>
  <w:footnote w:id="3">
    <w:p w:rsidR="00897FA5" w:rsidRPr="00651E2D" w:rsidRDefault="00897FA5" w:rsidP="00DC5847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51E2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51E2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51E2D">
        <w:rPr>
          <w:rFonts w:ascii="Times New Roman" w:hAnsi="Times New Roman" w:cs="Times New Roman"/>
          <w:sz w:val="20"/>
          <w:szCs w:val="20"/>
        </w:rPr>
        <w:t>Burimi</w:t>
      </w:r>
      <w:proofErr w:type="spellEnd"/>
      <w:r w:rsidRPr="00651E2D">
        <w:rPr>
          <w:rFonts w:ascii="Times New Roman" w:hAnsi="Times New Roman" w:cs="Times New Roman"/>
          <w:sz w:val="20"/>
          <w:szCs w:val="20"/>
        </w:rPr>
        <w:t xml:space="preserve">:  </w:t>
      </w:r>
      <w:hyperlink r:id="rId3" w:history="1">
        <w:r w:rsidRPr="00651E2D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http://www.parlament.al/web/Ligje_te_miratuara_59_1.php</w:t>
        </w:r>
      </w:hyperlink>
    </w:p>
  </w:footnote>
  <w:footnote w:id="4">
    <w:p w:rsidR="00897FA5" w:rsidRPr="00651E2D" w:rsidRDefault="00897FA5" w:rsidP="00DC5847">
      <w:pPr>
        <w:pStyle w:val="FootnoteText"/>
        <w:rPr>
          <w:lang w:val="en-US"/>
        </w:rPr>
      </w:pPr>
      <w:r w:rsidRPr="00651E2D">
        <w:rPr>
          <w:rStyle w:val="FootnoteReference"/>
        </w:rPr>
        <w:footnoteRef/>
      </w:r>
      <w:r w:rsidRPr="00651E2D">
        <w:t xml:space="preserve"> </w:t>
      </w:r>
      <w:r w:rsidRPr="00651E2D">
        <w:rPr>
          <w:lang w:val="en-US"/>
        </w:rPr>
        <w:t xml:space="preserve">- </w:t>
      </w:r>
      <w:r w:rsidRPr="00651E2D">
        <w:rPr>
          <w:bCs/>
          <w:lang w:val="en-US"/>
        </w:rPr>
        <w:t>Albania 2012 Progress Report, Commission Staff working paper, pg 7.</w:t>
      </w:r>
    </w:p>
  </w:footnote>
  <w:footnote w:id="5">
    <w:p w:rsidR="00897FA5" w:rsidRPr="00651E2D" w:rsidRDefault="00897FA5" w:rsidP="00DC5847">
      <w:pPr>
        <w:pStyle w:val="FootnoteText"/>
        <w:rPr>
          <w:lang w:val="en-US"/>
        </w:rPr>
      </w:pPr>
      <w:r w:rsidRPr="00651E2D">
        <w:rPr>
          <w:rStyle w:val="FootnoteReference"/>
        </w:rPr>
        <w:footnoteRef/>
      </w:r>
      <w:r w:rsidRPr="00651E2D">
        <w:t xml:space="preserve"> </w:t>
      </w:r>
      <w:proofErr w:type="gramStart"/>
      <w:r w:rsidRPr="00651E2D">
        <w:rPr>
          <w:lang w:val="en-US" w:bidi="he-IL"/>
        </w:rPr>
        <w:t>SIGMA, Assessment, Albania, 2012, pg.5.</w:t>
      </w:r>
      <w:proofErr w:type="gramEnd"/>
    </w:p>
  </w:footnote>
  <w:footnote w:id="6">
    <w:p w:rsidR="00897FA5" w:rsidRPr="00651E2D" w:rsidRDefault="00897FA5" w:rsidP="00937CA3">
      <w:pPr>
        <w:pStyle w:val="FootnoteText"/>
        <w:ind w:left="180" w:hanging="180"/>
        <w:rPr>
          <w:lang w:val="en-US"/>
        </w:rPr>
      </w:pPr>
      <w:r w:rsidRPr="00651E2D">
        <w:rPr>
          <w:rStyle w:val="FootnoteReference"/>
        </w:rPr>
        <w:footnoteRef/>
      </w:r>
      <w:r w:rsidRPr="00651E2D">
        <w:t xml:space="preserve"> </w:t>
      </w:r>
      <w:r>
        <w:t xml:space="preserve">Në total janë shtatë shërbime informative. Përveç SHISH, ato funksionojnë në </w:t>
      </w:r>
      <w:r w:rsidRPr="00651E2D">
        <w:t>Ministrinë e Mbrojtjes (Agjencia Informative e</w:t>
      </w:r>
      <w:r>
        <w:t xml:space="preserve"> Sigurisë dhe</w:t>
      </w:r>
      <w:r w:rsidRPr="00651E2D">
        <w:t xml:space="preserve"> Mbrojtjes, ish S</w:t>
      </w:r>
      <w:r>
        <w:t>H</w:t>
      </w:r>
      <w:r w:rsidRPr="00651E2D">
        <w:t>IU) në Ministrinë e Brendshme (Kontrolli i Shërbimit të Brendshëm) në Ministrinë e Financave (3 agjenci) dhe në Ministrinë e Drejtësisë (Kontrolli i Shërbimit të Brendshëm të Burgjeve)</w:t>
      </w:r>
      <w:r w:rsidRPr="00651E2D">
        <w:rPr>
          <w:lang w:val="en-US"/>
        </w:rPr>
        <w:t>.</w:t>
      </w:r>
    </w:p>
  </w:footnote>
  <w:footnote w:id="7">
    <w:p w:rsidR="00897FA5" w:rsidRPr="0096706C" w:rsidRDefault="00897FA5" w:rsidP="0096706C">
      <w:pPr>
        <w:pStyle w:val="FootnoteText"/>
        <w:ind w:left="142" w:hanging="142"/>
      </w:pPr>
      <w:r w:rsidRPr="0096706C">
        <w:rPr>
          <w:rStyle w:val="FootnoteReference"/>
        </w:rPr>
        <w:footnoteRef/>
      </w:r>
      <w:r w:rsidRPr="0096706C">
        <w:t xml:space="preserve"> </w:t>
      </w:r>
      <w:r w:rsidR="00A26C7E">
        <w:t>Për më tepër, s</w:t>
      </w:r>
      <w:r w:rsidRPr="0096706C">
        <w:t>hih intervistë</w:t>
      </w:r>
      <w:r w:rsidR="00A26C7E">
        <w:t>n</w:t>
      </w:r>
      <w:r w:rsidRPr="0096706C">
        <w:t xml:space="preserve"> me Viktor </w:t>
      </w:r>
      <w:proofErr w:type="spellStart"/>
      <w:r w:rsidRPr="0096706C">
        <w:t>Gumi</w:t>
      </w:r>
      <w:proofErr w:type="spellEnd"/>
      <w:r w:rsidRPr="0096706C">
        <w:t xml:space="preserve">, Gazeta “Panorama”, 13.10. 2014, tek: </w:t>
      </w:r>
      <w:hyperlink r:id="rId4" w:history="1">
        <w:r w:rsidRPr="0096706C">
          <w:rPr>
            <w:rStyle w:val="Hyperlink"/>
          </w:rPr>
          <w:t>http://www.panorama.com.al/2014/10/13/pergjimet-ne-rrethe-flet-ish-deputeti-i-pd-rrezimi-i-ligjit-shkriu-komisionin-e-ligjeve/</w:t>
        </w:r>
      </w:hyperlink>
    </w:p>
  </w:footnote>
  <w:footnote w:id="8">
    <w:p w:rsidR="00897FA5" w:rsidRPr="0096706C" w:rsidRDefault="00897FA5" w:rsidP="0096706C">
      <w:pPr>
        <w:pStyle w:val="FootnoteText"/>
        <w:ind w:left="142" w:hanging="142"/>
      </w:pPr>
      <w:r w:rsidRPr="0096706C">
        <w:rPr>
          <w:rStyle w:val="FootnoteReference"/>
        </w:rPr>
        <w:footnoteRef/>
      </w:r>
      <w:r w:rsidRPr="0096706C">
        <w:t xml:space="preserve"> Rasti kur Ligji </w:t>
      </w:r>
      <w:proofErr w:type="spellStart"/>
      <w:r w:rsidRPr="0096706C">
        <w:t>Nr.117/13.12.2012</w:t>
      </w:r>
      <w:proofErr w:type="spellEnd"/>
      <w:r w:rsidRPr="0096706C">
        <w:t xml:space="preserve"> “Për Agjencinë e Inteligjencës së Mbrojtjes” u shfuqizua një vit e gjysmë më vonë nga Ligji </w:t>
      </w:r>
      <w:proofErr w:type="spellStart"/>
      <w:r w:rsidRPr="0096706C">
        <w:t>Nr.64/26.06.2014</w:t>
      </w:r>
      <w:proofErr w:type="spellEnd"/>
      <w:r w:rsidRPr="0096706C">
        <w:t xml:space="preserve">. </w:t>
      </w:r>
    </w:p>
  </w:footnote>
  <w:footnote w:id="9">
    <w:p w:rsidR="00897FA5" w:rsidRPr="0096706C" w:rsidRDefault="00897FA5" w:rsidP="0096706C">
      <w:pPr>
        <w:pStyle w:val="FootnoteText"/>
        <w:ind w:left="142" w:hanging="142"/>
        <w:rPr>
          <w:lang w:val="en-US"/>
        </w:rPr>
      </w:pPr>
      <w:r w:rsidRPr="0096706C">
        <w:rPr>
          <w:rStyle w:val="FootnoteReference"/>
        </w:rPr>
        <w:footnoteRef/>
      </w:r>
      <w:r w:rsidRPr="0096706C">
        <w:t xml:space="preserve"> Në mungesë të opozitës, në</w:t>
      </w:r>
      <w:r>
        <w:t xml:space="preserve"> disa nga</w:t>
      </w:r>
      <w:r w:rsidRPr="0096706C">
        <w:t xml:space="preserve"> </w:t>
      </w:r>
      <w:r>
        <w:t xml:space="preserve">mbledhjet e KPSK (sipas proces-verbaleve përkatëse) </w:t>
      </w:r>
      <w:r w:rsidRPr="0096706C">
        <w:t xml:space="preserve">dominon togfjalëshi: “Neni xx. Dakord? Kundër? Abstenim? Miratohet” (shih proces-verbali i </w:t>
      </w:r>
      <w:r>
        <w:t>m</w:t>
      </w:r>
      <w:r w:rsidRPr="0096706C">
        <w:t xml:space="preserve">bledhjes </w:t>
      </w:r>
      <w:proofErr w:type="spellStart"/>
      <w:r w:rsidRPr="0096706C">
        <w:t>dt.29.07.2014</w:t>
      </w:r>
      <w:proofErr w:type="spellEnd"/>
      <w:r w:rsidRPr="0096706C">
        <w:t xml:space="preserve">, Projekt-Ligji “Për Policinë e Shtetit”, nga Neni 56 në 146, tek: </w:t>
      </w:r>
      <w:hyperlink r:id="rId5" w:history="1">
        <w:r w:rsidRPr="0096706C">
          <w:rPr>
            <w:rStyle w:val="Hyperlink"/>
          </w:rPr>
          <w:t>http://www.parlament.al/web/pub/komisioni_i_sigurise_date_29_072014_18922_1.pdf</w:t>
        </w:r>
      </w:hyperlink>
      <w:r>
        <w:t>)</w:t>
      </w:r>
      <w:r w:rsidRPr="0096706C">
        <w:t>.</w:t>
      </w:r>
    </w:p>
  </w:footnote>
  <w:footnote w:id="10">
    <w:p w:rsidR="00897FA5" w:rsidRPr="00737198" w:rsidRDefault="00897FA5" w:rsidP="00737198">
      <w:pPr>
        <w:pStyle w:val="FootnoteText"/>
        <w:ind w:left="180" w:hanging="180"/>
      </w:pPr>
      <w:r w:rsidRPr="00737198">
        <w:rPr>
          <w:rStyle w:val="FootnoteReference"/>
        </w:rPr>
        <w:footnoteRef/>
      </w:r>
      <w:r w:rsidRPr="00737198">
        <w:t xml:space="preserve"> Baka B. “Monitorimi dhe vlerësimi i qeverisjes të Sektorit të Sigurisë në Shqipëri, IDM, 2014, </w:t>
      </w:r>
      <w:proofErr w:type="spellStart"/>
      <w:r w:rsidRPr="00737198">
        <w:t>f.60</w:t>
      </w:r>
      <w:proofErr w:type="spellEnd"/>
      <w:r w:rsidRPr="00737198">
        <w:t>.</w:t>
      </w:r>
    </w:p>
  </w:footnote>
  <w:footnote w:id="11">
    <w:p w:rsidR="006A2F45" w:rsidRPr="005509D2" w:rsidRDefault="006A2F45" w:rsidP="00737198">
      <w:pPr>
        <w:pStyle w:val="FootnoteText"/>
        <w:ind w:left="180" w:hanging="180"/>
      </w:pPr>
      <w:r w:rsidRPr="005509D2">
        <w:rPr>
          <w:rStyle w:val="FootnoteReference"/>
        </w:rPr>
        <w:footnoteRef/>
      </w:r>
      <w:r w:rsidRPr="005509D2">
        <w:t xml:space="preserve"> Në datat 29.10.2013 (masat për emergjencat civile dhe emërimet në Policinë e Shtetit) dhe </w:t>
      </w:r>
      <w:r w:rsidR="00737198" w:rsidRPr="005509D2">
        <w:t>28.01.2014 (për dinamikën e vrasjes të dy vëllezërve Çollaku, në territorin grek).</w:t>
      </w:r>
    </w:p>
  </w:footnote>
  <w:footnote w:id="12">
    <w:p w:rsidR="005509D2" w:rsidRPr="005509D2" w:rsidRDefault="005509D2" w:rsidP="00FD17C3">
      <w:pPr>
        <w:pStyle w:val="FootnoteText"/>
        <w:ind w:left="142" w:hanging="142"/>
        <w:rPr>
          <w:lang w:val="en-US"/>
        </w:rPr>
      </w:pPr>
      <w:r w:rsidRPr="005509D2">
        <w:rPr>
          <w:rStyle w:val="FootnoteReference"/>
        </w:rPr>
        <w:footnoteRef/>
      </w:r>
      <w:r w:rsidRPr="005509D2">
        <w:t xml:space="preserve"> Kjo seancë vijoi me kontrollin e ushtruar në SHISH nga një komision hetimor, ku opozita për shkak të bojkotit nuk mori pjesë.</w:t>
      </w:r>
    </w:p>
  </w:footnote>
  <w:footnote w:id="13">
    <w:p w:rsidR="005A3863" w:rsidRPr="005509D2" w:rsidRDefault="005A3863" w:rsidP="005509D2">
      <w:pPr>
        <w:pStyle w:val="FootnoteText"/>
        <w:ind w:left="142" w:hanging="142"/>
      </w:pPr>
      <w:r w:rsidRPr="005509D2">
        <w:rPr>
          <w:rStyle w:val="FootnoteReference"/>
        </w:rPr>
        <w:footnoteRef/>
      </w:r>
      <w:r w:rsidRPr="005509D2">
        <w:t xml:space="preserve"> Vetëm 570 USD fond rezervë, 26 milionë USD borxhe (dëmshpërblimi i pa livruar për përmbytjet e mëparshme), mungesa në pajisje, karburante, etj</w:t>
      </w:r>
    </w:p>
  </w:footnote>
  <w:footnote w:id="14">
    <w:p w:rsidR="00897FA5" w:rsidRPr="005509D2" w:rsidRDefault="00897FA5">
      <w:pPr>
        <w:pStyle w:val="FootnoteText"/>
        <w:rPr>
          <w:lang w:val="en-US"/>
        </w:rPr>
      </w:pPr>
      <w:r w:rsidRPr="005509D2">
        <w:rPr>
          <w:rStyle w:val="FootnoteReference"/>
        </w:rPr>
        <w:footnoteRef/>
      </w:r>
      <w:r w:rsidRPr="005509D2">
        <w:t xml:space="preserve"> </w:t>
      </w:r>
      <w:hyperlink r:id="rId6" w:history="1">
        <w:r w:rsidRPr="005509D2">
          <w:rPr>
            <w:rStyle w:val="Hyperlink"/>
          </w:rPr>
          <w:t>http://www.parlament.al/web/pub/manuali_varianti_perfundimtar_18331_1.pdf</w:t>
        </w:r>
      </w:hyperlink>
    </w:p>
  </w:footnote>
  <w:footnote w:id="15">
    <w:p w:rsidR="00897FA5" w:rsidRDefault="00897FA5" w:rsidP="00565483">
      <w:pPr>
        <w:pStyle w:val="FootnoteText"/>
        <w:ind w:left="180" w:hanging="180"/>
        <w:rPr>
          <w:lang w:val="en-US"/>
        </w:rPr>
      </w:pPr>
      <w:r>
        <w:rPr>
          <w:rStyle w:val="FootnoteReference"/>
          <w:lang w:val="en-US"/>
        </w:rPr>
        <w:footnoteRef/>
      </w:r>
      <w:r>
        <w:rPr>
          <w:lang w:val="en-US"/>
        </w:rPr>
        <w:t xml:space="preserve"> - </w:t>
      </w:r>
      <w:r>
        <w:t xml:space="preserve">Si pjesë e kuadrit ligjor të krijuar para vitit 2010, në këtë aspekt mund të përmendet: Ligji </w:t>
      </w:r>
      <w:proofErr w:type="spellStart"/>
      <w:r>
        <w:t>Nr.9720</w:t>
      </w:r>
      <w:proofErr w:type="spellEnd"/>
      <w:r>
        <w:t xml:space="preserve">, datë 23.04.2007 “Për </w:t>
      </w:r>
      <w:proofErr w:type="spellStart"/>
      <w:r>
        <w:t>auditin</w:t>
      </w:r>
      <w:proofErr w:type="spellEnd"/>
      <w:r>
        <w:t xml:space="preserve"> e brendshëm në sektorin publik” (i ndryshuar); Ligji </w:t>
      </w:r>
      <w:proofErr w:type="spellStart"/>
      <w:r>
        <w:t>Nr.10296</w:t>
      </w:r>
      <w:proofErr w:type="spellEnd"/>
      <w:r>
        <w:t xml:space="preserve">, datë 08.07.2010 “Për menaxhimin financiar dhe kontrollin”; Ligji Nr. 9936, datë 26.06.2008 “Për menaxhimin e sistemit buxhetor në RSH” dhe Ligji </w:t>
      </w:r>
      <w:proofErr w:type="spellStart"/>
      <w:r>
        <w:t>Nr.9228</w:t>
      </w:r>
      <w:proofErr w:type="spellEnd"/>
      <w:r>
        <w:t xml:space="preserve">, datë 29.04.2004 “Kontabiliteti në RSH”. </w:t>
      </w:r>
      <w:r>
        <w:rPr>
          <w:lang w:val="en-US"/>
        </w:rPr>
        <w:t xml:space="preserve"> </w:t>
      </w:r>
    </w:p>
  </w:footnote>
  <w:footnote w:id="16">
    <w:p w:rsidR="00897FA5" w:rsidRPr="002507FF" w:rsidRDefault="00897FA5">
      <w:pPr>
        <w:pStyle w:val="FootnoteText"/>
      </w:pPr>
      <w:r w:rsidRPr="002507FF">
        <w:rPr>
          <w:rStyle w:val="FootnoteReference"/>
        </w:rPr>
        <w:footnoteRef/>
      </w:r>
      <w:r w:rsidRPr="002507FF">
        <w:t xml:space="preserve"> Me argumentin se kjo realizohet në kuadrin e Buxhetit të Shtetit. </w:t>
      </w:r>
    </w:p>
  </w:footnote>
  <w:footnote w:id="17">
    <w:p w:rsidR="00897FA5" w:rsidRPr="0039086E" w:rsidRDefault="00897FA5" w:rsidP="00C702B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086E">
        <w:rPr>
          <w:rStyle w:val="FootnoteReference"/>
        </w:rPr>
        <w:footnoteRef/>
      </w:r>
      <w:r w:rsidRPr="0039086E">
        <w:rPr>
          <w:rFonts w:ascii="Times New Roman" w:hAnsi="Times New Roman" w:cs="Times New Roman"/>
          <w:sz w:val="20"/>
          <w:szCs w:val="20"/>
          <w:lang w:val="sq-AL"/>
        </w:rPr>
        <w:t xml:space="preserve"> Instituti për Demokraci e Ndërmjetësim, “Raporti monitorues mbi punën e Komisionit Parlamentar të Sigurisë Kombëtare, </w:t>
      </w:r>
      <w:r w:rsidRPr="0039086E">
        <w:rPr>
          <w:rFonts w:ascii="Times New Roman" w:hAnsi="Times New Roman" w:cs="Times New Roman"/>
          <w:bCs/>
          <w:sz w:val="20"/>
          <w:szCs w:val="20"/>
          <w:lang w:val="sq-AL"/>
        </w:rPr>
        <w:t xml:space="preserve">2012, </w:t>
      </w:r>
      <w:proofErr w:type="spellStart"/>
      <w:r w:rsidRPr="0039086E">
        <w:rPr>
          <w:rFonts w:ascii="Times New Roman" w:hAnsi="Times New Roman" w:cs="Times New Roman"/>
          <w:bCs/>
          <w:sz w:val="20"/>
          <w:szCs w:val="20"/>
          <w:lang w:val="sq-AL"/>
        </w:rPr>
        <w:t>f.3</w:t>
      </w:r>
      <w:proofErr w:type="spellEnd"/>
    </w:p>
  </w:footnote>
  <w:footnote w:id="18">
    <w:p w:rsidR="00897FA5" w:rsidRPr="0039086E" w:rsidRDefault="00897FA5" w:rsidP="00C702B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39086E">
        <w:rPr>
          <w:rStyle w:val="FootnoteReference"/>
        </w:rPr>
        <w:footnoteRef/>
      </w:r>
      <w:r w:rsidRPr="0039086E">
        <w:rPr>
          <w:rFonts w:ascii="Times New Roman" w:hAnsi="Times New Roman" w:cs="Times New Roman"/>
          <w:sz w:val="20"/>
          <w:szCs w:val="20"/>
          <w:lang w:val="sq-AL"/>
        </w:rPr>
        <w:t xml:space="preserve"> Në vitin 2011, KSK kreu vetëm një séancë dëgjimore me Ministrinë e Mbrojtjes (Raporti Monitorues i IDN, 2011, </w:t>
      </w:r>
      <w:proofErr w:type="spellStart"/>
      <w:r w:rsidRPr="0039086E">
        <w:rPr>
          <w:rFonts w:ascii="Times New Roman" w:hAnsi="Times New Roman" w:cs="Times New Roman"/>
          <w:sz w:val="20"/>
          <w:szCs w:val="20"/>
          <w:lang w:val="sq-AL"/>
        </w:rPr>
        <w:t>f.1</w:t>
      </w:r>
      <w:proofErr w:type="spellEnd"/>
      <w:r w:rsidRPr="0039086E">
        <w:rPr>
          <w:rFonts w:ascii="Times New Roman" w:hAnsi="Times New Roman" w:cs="Times New Roman"/>
          <w:sz w:val="20"/>
          <w:szCs w:val="20"/>
          <w:lang w:val="sq-AL"/>
        </w:rPr>
        <w:t xml:space="preserve">). Në vitin 2012, KSK kreu dy seanca dëgjimore me Ministrin e Punëve të Brendshme, në lidhje me masat për luftën kundër krimit të organizuar dhe me Ministrin e Mbrojtjes në lidhje me “Planin e Përhapjes të Kohës së Paqes të Forcave të Armatosura Shqiptare” dhe pronat ushtarake. Për Ministrinë e Mbrojtjes, deputetët e opozitës, në objektin e kërkesës së tyre, kishin kërkuar një investigim të thellë në lidhje me këtë Plan (përfshirë edhe dokumentacion tjetër që lidhej me të) dhe jo seancë dëgjimore me Ministrin e Mbrojtjes (IDN, Raporti Monitorues, 2012, </w:t>
      </w:r>
      <w:proofErr w:type="spellStart"/>
      <w:r w:rsidRPr="0039086E">
        <w:rPr>
          <w:rFonts w:ascii="Times New Roman" w:hAnsi="Times New Roman" w:cs="Times New Roman"/>
          <w:sz w:val="20"/>
          <w:szCs w:val="20"/>
          <w:lang w:val="sq-AL"/>
        </w:rPr>
        <w:t>f.7</w:t>
      </w:r>
      <w:proofErr w:type="spellEnd"/>
      <w:r w:rsidRPr="0039086E">
        <w:rPr>
          <w:rFonts w:ascii="Times New Roman" w:hAnsi="Times New Roman" w:cs="Times New Roman"/>
          <w:sz w:val="20"/>
          <w:szCs w:val="20"/>
          <w:lang w:val="sq-AL"/>
        </w:rPr>
        <w:t>).</w:t>
      </w:r>
    </w:p>
  </w:footnote>
  <w:footnote w:id="19">
    <w:p w:rsidR="00897FA5" w:rsidRPr="001416E3" w:rsidRDefault="00897FA5" w:rsidP="003335A3">
      <w:pPr>
        <w:pStyle w:val="FootnoteText"/>
        <w:ind w:left="284" w:hanging="284"/>
      </w:pPr>
      <w:r w:rsidRPr="001416E3">
        <w:rPr>
          <w:rStyle w:val="FootnoteReference"/>
        </w:rPr>
        <w:footnoteRef/>
      </w:r>
      <w:r w:rsidRPr="001416E3">
        <w:t xml:space="preserve"> Për më shumë shih:  IDN, Raporti Monitorues për punën e KSK, </w:t>
      </w:r>
      <w:r w:rsidRPr="001416E3">
        <w:rPr>
          <w:bCs/>
        </w:rPr>
        <w:t xml:space="preserve">2012, </w:t>
      </w:r>
      <w:proofErr w:type="spellStart"/>
      <w:r w:rsidRPr="001416E3">
        <w:rPr>
          <w:bCs/>
        </w:rPr>
        <w:t>f.6</w:t>
      </w:r>
      <w:proofErr w:type="spellEnd"/>
    </w:p>
  </w:footnote>
  <w:footnote w:id="20">
    <w:p w:rsidR="00897FA5" w:rsidRPr="001416E3" w:rsidRDefault="00897FA5" w:rsidP="001416E3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  <w:lang w:val="sq-AL"/>
        </w:rPr>
      </w:pPr>
      <w:r w:rsidRPr="001416E3">
        <w:rPr>
          <w:rStyle w:val="FootnoteReference"/>
          <w:rFonts w:ascii="Times New Roman" w:hAnsi="Times New Roman" w:cs="Times New Roman"/>
          <w:sz w:val="20"/>
          <w:szCs w:val="20"/>
          <w:lang w:val="sq-AL"/>
        </w:rPr>
        <w:footnoteRef/>
      </w:r>
      <w:r w:rsidRPr="001416E3">
        <w:rPr>
          <w:rFonts w:ascii="Times New Roman" w:hAnsi="Times New Roman" w:cs="Times New Roman"/>
          <w:sz w:val="20"/>
          <w:szCs w:val="20"/>
          <w:lang w:val="sq-AL"/>
        </w:rPr>
        <w:t xml:space="preserve"> KLSH, </w:t>
      </w:r>
      <w:r w:rsidRPr="001416E3">
        <w:rPr>
          <w:rFonts w:ascii="Times New Roman" w:hAnsi="Times New Roman" w:cs="Times New Roman"/>
          <w:sz w:val="20"/>
          <w:szCs w:val="20"/>
        </w:rPr>
        <w:t>“</w:t>
      </w:r>
      <w:r w:rsidRPr="001416E3">
        <w:rPr>
          <w:rFonts w:ascii="Times New Roman" w:hAnsi="Times New Roman" w:cs="Times New Roman"/>
          <w:sz w:val="20"/>
          <w:szCs w:val="20"/>
          <w:lang w:val="sq-AL"/>
        </w:rPr>
        <w:t xml:space="preserve">Raporti vjetor </w:t>
      </w:r>
      <w:proofErr w:type="spellStart"/>
      <w:r w:rsidRPr="001416E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41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6E3">
        <w:rPr>
          <w:rFonts w:ascii="Times New Roman" w:hAnsi="Times New Roman" w:cs="Times New Roman"/>
          <w:sz w:val="20"/>
          <w:szCs w:val="20"/>
        </w:rPr>
        <w:t>performancës</w:t>
      </w:r>
      <w:proofErr w:type="spellEnd"/>
      <w:r w:rsidRPr="001416E3">
        <w:rPr>
          <w:rFonts w:ascii="Times New Roman" w:hAnsi="Times New Roman" w:cs="Times New Roman"/>
          <w:sz w:val="20"/>
          <w:szCs w:val="20"/>
        </w:rPr>
        <w:t>”, 2014, f.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1416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6E3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1416E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1416E3">
          <w:rPr>
            <w:rStyle w:val="Hyperlink"/>
            <w:rFonts w:ascii="Times New Roman" w:hAnsi="Times New Roman" w:cs="Times New Roman"/>
            <w:sz w:val="20"/>
            <w:szCs w:val="20"/>
          </w:rPr>
          <w:t>http://www.klsh.org.al/web/pub/raporti_performances_se_klsh_2013_1159_1.pdf</w:t>
        </w:r>
      </w:hyperlink>
    </w:p>
  </w:footnote>
  <w:footnote w:id="21">
    <w:p w:rsidR="00897FA5" w:rsidRDefault="00897FA5" w:rsidP="003335A3">
      <w:pPr>
        <w:pStyle w:val="FootnoteText"/>
        <w:ind w:left="142" w:hanging="142"/>
        <w:rPr>
          <w:lang w:val="en-US"/>
        </w:rPr>
      </w:pPr>
      <w:r w:rsidRPr="001416E3">
        <w:rPr>
          <w:rStyle w:val="FootnoteReference"/>
        </w:rPr>
        <w:footnoteRef/>
      </w:r>
      <w:r w:rsidRPr="001416E3">
        <w:t xml:space="preserve"> Në raportin për realizimin e buxhetit të vitit 2011, prezantuar në Parlament nga KLSH, ka të dhëna për realizimin e buxhetit nga institucionet e sigurisë, por mungojnë vlerësimet dhe analizat për disa dështime në realizim (p.sh. nuk ka shpjegime përse plani i investimeve i Ministrisë së Mbrojtjes në projektet mbështetëse me të huajt, nga 50</w:t>
      </w:r>
      <w:r>
        <w:t xml:space="preserve"> milionë lekë, plani, është “zero realizim” në fund të 2011). Shih: Raporti i realizimit të buxhetit 2011, </w:t>
      </w:r>
      <w:proofErr w:type="spellStart"/>
      <w:r>
        <w:t>f.224</w:t>
      </w:r>
      <w:proofErr w:type="spellEnd"/>
      <w:r>
        <w:t xml:space="preserve">, në </w:t>
      </w:r>
      <w:proofErr w:type="spellStart"/>
      <w:r>
        <w:t>website</w:t>
      </w:r>
      <w:proofErr w:type="spellEnd"/>
      <w:r>
        <w:t xml:space="preserve"> të KLSH: </w:t>
      </w:r>
      <w:hyperlink r:id="rId8" w:history="1">
        <w:r>
          <w:rPr>
            <w:rStyle w:val="Hyperlink"/>
            <w:lang w:val="en-US"/>
          </w:rPr>
          <w:t>http://www.klsh.org.al</w:t>
        </w:r>
      </w:hyperlink>
      <w:r>
        <w:rPr>
          <w:lang w:val="en-US"/>
        </w:rPr>
        <w:t xml:space="preserve"> </w:t>
      </w:r>
    </w:p>
  </w:footnote>
  <w:footnote w:id="22">
    <w:p w:rsidR="00897FA5" w:rsidRPr="00610941" w:rsidRDefault="00897FA5" w:rsidP="00610941">
      <w:pPr>
        <w:pStyle w:val="FootnoteText"/>
        <w:ind w:left="180" w:hanging="180"/>
        <w:rPr>
          <w:lang w:val="en-US"/>
        </w:rPr>
      </w:pPr>
      <w:r w:rsidRPr="00610941">
        <w:rPr>
          <w:rStyle w:val="FootnoteReference"/>
        </w:rPr>
        <w:footnoteRef/>
      </w:r>
      <w:r w:rsidRPr="00610941">
        <w:t xml:space="preserve"> KLSH, “Raport vjetor i </w:t>
      </w:r>
      <w:proofErr w:type="spellStart"/>
      <w:r w:rsidRPr="00610941">
        <w:t>performancës</w:t>
      </w:r>
      <w:proofErr w:type="spellEnd"/>
      <w:r w:rsidRPr="00610941">
        <w:t xml:space="preserve">”, </w:t>
      </w:r>
      <w:r w:rsidRPr="00610941">
        <w:rPr>
          <w:lang w:val="en-US"/>
        </w:rPr>
        <w:t xml:space="preserve">2012, f. 11,  </w:t>
      </w:r>
      <w:proofErr w:type="spellStart"/>
      <w:r w:rsidRPr="00610941">
        <w:rPr>
          <w:lang w:val="en-US"/>
        </w:rPr>
        <w:t>tek</w:t>
      </w:r>
      <w:proofErr w:type="spellEnd"/>
      <w:r w:rsidRPr="00610941">
        <w:rPr>
          <w:lang w:val="en-US"/>
        </w:rPr>
        <w:t>:</w:t>
      </w:r>
      <w:r w:rsidRPr="00610941">
        <w:t xml:space="preserve"> </w:t>
      </w:r>
      <w:hyperlink r:id="rId9" w:history="1">
        <w:r w:rsidRPr="00610941">
          <w:rPr>
            <w:rStyle w:val="Hyperlink"/>
            <w:lang w:val="en-US"/>
          </w:rPr>
          <w:t>http://www.klsh.org.al/</w:t>
        </w:r>
      </w:hyperlink>
    </w:p>
  </w:footnote>
  <w:footnote w:id="23">
    <w:p w:rsidR="00897FA5" w:rsidRPr="00610941" w:rsidRDefault="00897FA5" w:rsidP="00610941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  <w:lang w:val="sq-AL"/>
        </w:rPr>
      </w:pPr>
      <w:r w:rsidRPr="00610941">
        <w:rPr>
          <w:rStyle w:val="FootnoteReference"/>
          <w:rFonts w:ascii="Times New Roman" w:hAnsi="Times New Roman" w:cs="Times New Roman"/>
          <w:sz w:val="20"/>
          <w:szCs w:val="20"/>
          <w:lang w:val="sq-AL"/>
        </w:rPr>
        <w:footnoteRef/>
      </w:r>
      <w:r w:rsidRPr="00610941">
        <w:rPr>
          <w:rFonts w:ascii="Times New Roman" w:hAnsi="Times New Roman" w:cs="Times New Roman"/>
          <w:sz w:val="20"/>
          <w:szCs w:val="20"/>
          <w:lang w:val="sq-AL"/>
        </w:rPr>
        <w:t xml:space="preserve"> KLSH, </w:t>
      </w:r>
      <w:r w:rsidRPr="00610941">
        <w:rPr>
          <w:rFonts w:ascii="Times New Roman" w:hAnsi="Times New Roman" w:cs="Times New Roman"/>
          <w:sz w:val="20"/>
          <w:szCs w:val="20"/>
        </w:rPr>
        <w:t>“</w:t>
      </w:r>
      <w:r w:rsidRPr="00610941">
        <w:rPr>
          <w:rFonts w:ascii="Times New Roman" w:hAnsi="Times New Roman" w:cs="Times New Roman"/>
          <w:sz w:val="20"/>
          <w:szCs w:val="20"/>
          <w:lang w:val="sq-AL"/>
        </w:rPr>
        <w:t xml:space="preserve">Raporti vjetor </w:t>
      </w:r>
      <w:proofErr w:type="spellStart"/>
      <w:r w:rsidRPr="0061094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10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941">
        <w:rPr>
          <w:rFonts w:ascii="Times New Roman" w:hAnsi="Times New Roman" w:cs="Times New Roman"/>
          <w:sz w:val="20"/>
          <w:szCs w:val="20"/>
        </w:rPr>
        <w:t>performancës</w:t>
      </w:r>
      <w:proofErr w:type="spellEnd"/>
      <w:r w:rsidRPr="00610941">
        <w:rPr>
          <w:rFonts w:ascii="Times New Roman" w:hAnsi="Times New Roman" w:cs="Times New Roman"/>
          <w:sz w:val="20"/>
          <w:szCs w:val="20"/>
        </w:rPr>
        <w:t>”, 2014, f</w:t>
      </w:r>
      <w:r>
        <w:rPr>
          <w:rFonts w:ascii="Times New Roman" w:hAnsi="Times New Roman" w:cs="Times New Roman"/>
          <w:sz w:val="20"/>
          <w:szCs w:val="20"/>
        </w:rPr>
        <w:t>.87, 93,</w:t>
      </w:r>
      <w:r w:rsidRPr="00610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941">
        <w:rPr>
          <w:rFonts w:ascii="Times New Roman" w:hAnsi="Times New Roman" w:cs="Times New Roman"/>
          <w:sz w:val="20"/>
          <w:szCs w:val="20"/>
        </w:rPr>
        <w:t>tek</w:t>
      </w:r>
      <w:proofErr w:type="spellEnd"/>
      <w:r w:rsidRPr="00610941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610941">
          <w:rPr>
            <w:rStyle w:val="Hyperlink"/>
            <w:rFonts w:ascii="Times New Roman" w:hAnsi="Times New Roman" w:cs="Times New Roman"/>
            <w:sz w:val="20"/>
            <w:szCs w:val="20"/>
          </w:rPr>
          <w:t>http://www.klsh.org.al/web/pub/raporti_performances_se_klsh_2013_1159_1.pdf</w:t>
        </w:r>
      </w:hyperlink>
    </w:p>
  </w:footnote>
  <w:footnote w:id="24">
    <w:p w:rsidR="00897FA5" w:rsidRPr="00610941" w:rsidRDefault="00897FA5" w:rsidP="000077EB">
      <w:pPr>
        <w:pStyle w:val="FootnoteText"/>
        <w:ind w:left="180" w:hanging="180"/>
        <w:rPr>
          <w:lang w:val="en-US"/>
        </w:rPr>
      </w:pPr>
      <w:r w:rsidRPr="00610941">
        <w:rPr>
          <w:rStyle w:val="FootnoteReference"/>
        </w:rPr>
        <w:footnoteRef/>
      </w:r>
      <w:r w:rsidRPr="00610941">
        <w:t xml:space="preserve"> </w:t>
      </w:r>
      <w:r w:rsidRPr="00610941">
        <w:rPr>
          <w:color w:val="0000FF"/>
          <w:lang w:val="en-US" w:bidi="he-IL"/>
        </w:rPr>
        <w:t>SIGMA, Assessment, Albania, 2012, pg.5</w:t>
      </w:r>
    </w:p>
  </w:footnote>
  <w:footnote w:id="25">
    <w:p w:rsidR="00897FA5" w:rsidRDefault="00897FA5" w:rsidP="003335A3">
      <w:pPr>
        <w:pStyle w:val="FootnoteText"/>
      </w:pPr>
      <w:r>
        <w:rPr>
          <w:rStyle w:val="FootnoteReference"/>
        </w:rPr>
        <w:footnoteRef/>
      </w:r>
      <w:r>
        <w:t xml:space="preserve"> Ligji i Prokurimit Publik, </w:t>
      </w:r>
      <w:proofErr w:type="spellStart"/>
      <w:r>
        <w:t>Nr.9643</w:t>
      </w:r>
      <w:proofErr w:type="spellEnd"/>
      <w:r>
        <w:t xml:space="preserve"> (2006) i ndryshuar, Neni 5/2. </w:t>
      </w:r>
    </w:p>
  </w:footnote>
  <w:footnote w:id="26">
    <w:p w:rsidR="00897FA5" w:rsidRDefault="00897FA5" w:rsidP="003335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 w:bidi="he-IL"/>
        </w:rPr>
        <w:t>SIGMA, Assessment, Albania, 2012, pg.5.</w:t>
      </w:r>
      <w:proofErr w:type="gramEnd"/>
    </w:p>
  </w:footnote>
  <w:footnote w:id="27">
    <w:p w:rsidR="00897FA5" w:rsidRPr="0039086E" w:rsidRDefault="00897FA5" w:rsidP="003335A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  <w:lang w:val="sq-AL"/>
        </w:rPr>
      </w:pPr>
      <w:r w:rsidRPr="0039086E">
        <w:rPr>
          <w:rStyle w:val="FootnoteReference"/>
        </w:rPr>
        <w:footnoteRef/>
      </w:r>
      <w:r w:rsidRPr="0039086E">
        <w:rPr>
          <w:rFonts w:ascii="Times New Roman" w:hAnsi="Times New Roman" w:cs="Times New Roman"/>
          <w:sz w:val="20"/>
          <w:szCs w:val="20"/>
          <w:lang w:val="sq-AL"/>
        </w:rPr>
        <w:t xml:space="preserve"> Forcat e Armatosura Shqiptare kanë prokuruar 5 helikopterë të transportit të mesëm. Vlera totale e kontratës është rreth  76 milion € (afërsisht gjysma e një buxheti vjetor mbrojtje) për 5 vjet (2010-2014). Për më shumë shih tek: </w:t>
      </w:r>
      <w:hyperlink r:id="rId11" w:history="1">
        <w:r w:rsidRPr="0039086E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http://www.minfin.gov.al/minfin/Programi_Buxhetor_Afatmesem_ne_Vite_576_1.php</w:t>
        </w:r>
      </w:hyperlink>
      <w:r w:rsidRPr="0039086E">
        <w:rPr>
          <w:rFonts w:ascii="Times New Roman" w:hAnsi="Times New Roman" w:cs="Times New Roman"/>
          <w:sz w:val="20"/>
          <w:szCs w:val="20"/>
          <w:lang w:val="sq-AL"/>
        </w:rPr>
        <w:t xml:space="preserve"> dhe </w:t>
      </w:r>
      <w:hyperlink r:id="rId12" w:history="1">
        <w:r w:rsidRPr="0039086E">
          <w:rPr>
            <w:rStyle w:val="Hyperlink"/>
            <w:rFonts w:ascii="Times New Roman" w:hAnsi="Times New Roman" w:cs="Times New Roman"/>
            <w:sz w:val="20"/>
            <w:szCs w:val="20"/>
            <w:lang w:val="sq-AL"/>
          </w:rPr>
          <w:t>http://www.minfin.gov.al/minfin/pub/pba_2011_2013_final_1789_1.pdf</w:t>
        </w:r>
      </w:hyperlink>
      <w:r w:rsidRPr="0039086E">
        <w:rPr>
          <w:rFonts w:ascii="Times New Roman" w:hAnsi="Times New Roman" w:cs="Times New Roman"/>
          <w:color w:val="000000"/>
          <w:sz w:val="20"/>
          <w:szCs w:val="20"/>
          <w:lang w:val="sq-AL"/>
        </w:rPr>
        <w:t xml:space="preserve"> (</w:t>
      </w:r>
      <w:proofErr w:type="spellStart"/>
      <w:r w:rsidRPr="0039086E">
        <w:rPr>
          <w:rFonts w:ascii="Times New Roman" w:hAnsi="Times New Roman" w:cs="Times New Roman"/>
          <w:color w:val="000000"/>
          <w:sz w:val="20"/>
          <w:szCs w:val="20"/>
          <w:lang w:val="sq-AL"/>
        </w:rPr>
        <w:t>f.253</w:t>
      </w:r>
      <w:proofErr w:type="spellEnd"/>
      <w:r w:rsidRPr="0039086E">
        <w:rPr>
          <w:rFonts w:ascii="Times New Roman" w:hAnsi="Times New Roman" w:cs="Times New Roman"/>
          <w:color w:val="000000"/>
          <w:sz w:val="20"/>
          <w:szCs w:val="20"/>
          <w:lang w:val="sq-AL"/>
        </w:rPr>
        <w:t>)</w:t>
      </w:r>
      <w:r w:rsidRPr="0039086E">
        <w:rPr>
          <w:rFonts w:ascii="Times New Roman" w:hAnsi="Times New Roman" w:cs="Times New Roman"/>
          <w:sz w:val="20"/>
          <w:szCs w:val="20"/>
          <w:lang w:val="sq-AL"/>
        </w:rPr>
        <w:t>. Forcat e Armatosura Shqiptare kanë prokuruar 5 helikopterë të transportit të mesëm. Vlera totale e kontratës është rreth  76 milion € (afërsisht gjysma e një buxheti vjetor</w:t>
      </w:r>
      <w:r w:rsidR="00784EB5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Pr="0039086E">
        <w:rPr>
          <w:rFonts w:ascii="Times New Roman" w:hAnsi="Times New Roman" w:cs="Times New Roman"/>
          <w:sz w:val="20"/>
          <w:szCs w:val="20"/>
          <w:lang w:val="sq-AL"/>
        </w:rPr>
        <w:t xml:space="preserve"> mbrojtje) për 5 vjet (2010-2014)</w:t>
      </w:r>
    </w:p>
  </w:footnote>
  <w:footnote w:id="28">
    <w:p w:rsidR="00897FA5" w:rsidRPr="0039086E" w:rsidRDefault="00897FA5" w:rsidP="003335A3">
      <w:pPr>
        <w:pStyle w:val="FootnoteText"/>
        <w:ind w:left="142" w:hanging="142"/>
      </w:pPr>
      <w:r w:rsidRPr="0039086E">
        <w:rPr>
          <w:rStyle w:val="FootnoteReference"/>
        </w:rPr>
        <w:footnoteRef/>
      </w:r>
      <w:r w:rsidRPr="0039086E">
        <w:t xml:space="preserve"> Duke filluar nga Dhjetori 2012, bazuar në Ligjin Nr. 117, datë 13.12.2012,  SHIU është shndërruar në Agjencinë Informative të Mbrojtjes me pothuajse të njëjtin mision dhe rol. </w:t>
      </w:r>
    </w:p>
  </w:footnote>
  <w:footnote w:id="29">
    <w:p w:rsidR="00897FA5" w:rsidRPr="0039086E" w:rsidRDefault="00897FA5" w:rsidP="003335A3">
      <w:pPr>
        <w:pStyle w:val="FootnoteText"/>
        <w:ind w:left="142" w:hanging="142"/>
      </w:pPr>
      <w:r w:rsidRPr="0039086E">
        <w:rPr>
          <w:rStyle w:val="FootnoteReference"/>
        </w:rPr>
        <w:footnoteRef/>
      </w:r>
      <w:r w:rsidRPr="0039086E">
        <w:t xml:space="preserve"> Nga rreth 444.5 milion Lekë, dëm ekonomik gjetur nga inspektimet e KLSH gjatë vitit 2012 në prokurimet publike, 225.7 milionë Lekë dëm është shkaktuar nga Ministria e Brendshme. Për më shumë shih: KLSH, Raporti vjetor i </w:t>
      </w:r>
      <w:proofErr w:type="spellStart"/>
      <w:r w:rsidRPr="0039086E">
        <w:t>Performancës</w:t>
      </w:r>
      <w:proofErr w:type="spellEnd"/>
      <w:r w:rsidRPr="0039086E">
        <w:t xml:space="preserve">, 2012, f 19, tek: </w:t>
      </w:r>
      <w:hyperlink r:id="rId13" w:history="1">
        <w:r w:rsidRPr="0039086E">
          <w:rPr>
            <w:rStyle w:val="Hyperlink"/>
          </w:rPr>
          <w:t>http://www.klsh.org.al/</w:t>
        </w:r>
      </w:hyperlink>
    </w:p>
  </w:footnote>
  <w:footnote w:id="30">
    <w:p w:rsidR="00897FA5" w:rsidRPr="0039086E" w:rsidRDefault="00897FA5" w:rsidP="003335A3">
      <w:pPr>
        <w:pStyle w:val="FootnoteText"/>
      </w:pPr>
      <w:r w:rsidRPr="0039086E">
        <w:rPr>
          <w:rStyle w:val="FootnoteReference"/>
        </w:rPr>
        <w:footnoteRef/>
      </w:r>
      <w:r w:rsidRPr="0039086E">
        <w:t xml:space="preserve"> KLSH, Buletini i 3-mujorit të katërt, 2012-4, f. 50, tek: </w:t>
      </w:r>
      <w:hyperlink r:id="rId14" w:history="1">
        <w:r w:rsidRPr="0039086E">
          <w:rPr>
            <w:rStyle w:val="Hyperlink"/>
          </w:rPr>
          <w:t>http://www.klsh.org.al/</w:t>
        </w:r>
      </w:hyperlink>
    </w:p>
  </w:footnote>
  <w:footnote w:id="31">
    <w:p w:rsidR="00897FA5" w:rsidRPr="0039086E" w:rsidRDefault="00897FA5" w:rsidP="003335A3">
      <w:pPr>
        <w:pStyle w:val="FootnoteText"/>
        <w:ind w:left="180" w:hanging="180"/>
      </w:pPr>
      <w:r w:rsidRPr="0039086E">
        <w:rPr>
          <w:rStyle w:val="FootnoteReference"/>
        </w:rPr>
        <w:footnoteRef/>
      </w:r>
      <w:r w:rsidRPr="0039086E">
        <w:t xml:space="preserve"> Ky vendim ishte në injorim të drejt-për-drejtë të pozicionit të grupit të </w:t>
      </w:r>
      <w:proofErr w:type="spellStart"/>
      <w:r w:rsidRPr="0039086E">
        <w:t>auditimit</w:t>
      </w:r>
      <w:proofErr w:type="spellEnd"/>
      <w:r w:rsidRPr="0039086E">
        <w:t xml:space="preserve"> të KLSH, i cili, pasi gjeti që katër persona të nivelit të lartë në Komisionin e Prokurimeve të </w:t>
      </w:r>
      <w:proofErr w:type="spellStart"/>
      <w:r w:rsidRPr="0039086E">
        <w:t>Min.Brendshme</w:t>
      </w:r>
      <w:proofErr w:type="spellEnd"/>
      <w:r w:rsidRPr="0039086E">
        <w:t xml:space="preserve">, kishin kryer veprime të kundërligjshme që parashikoheshin nga Kodi Penal në Nenet 248 (abuzim posti) dhe 258 (mosrespektim i paanshmërisë në </w:t>
      </w:r>
      <w:proofErr w:type="spellStart"/>
      <w:r w:rsidRPr="0039086E">
        <w:t>tenderat</w:t>
      </w:r>
      <w:proofErr w:type="spellEnd"/>
      <w:r w:rsidRPr="0039086E">
        <w:t xml:space="preserve"> publike) rekomandonte që për personat e implikuar të bëhej kallëzim në Prokurori. (shih KLSH – “</w:t>
      </w:r>
      <w:proofErr w:type="spellStart"/>
      <w:r w:rsidRPr="0039086E">
        <w:t>Auditimin</w:t>
      </w:r>
      <w:proofErr w:type="spellEnd"/>
      <w:r w:rsidRPr="0039086E">
        <w:t xml:space="preserve"> e ushtruar në Ministrinë e Brendshme, </w:t>
      </w:r>
      <w:proofErr w:type="spellStart"/>
      <w:r w:rsidRPr="0039086E">
        <w:t>f.5</w:t>
      </w:r>
      <w:proofErr w:type="spellEnd"/>
      <w:r w:rsidRPr="0039086E">
        <w:t xml:space="preserve">, tek: </w:t>
      </w:r>
      <w:hyperlink r:id="rId15" w:history="1">
        <w:r w:rsidRPr="0039086E">
          <w:rPr>
            <w:rStyle w:val="Hyperlink"/>
          </w:rPr>
          <w:t>http://www.klsh.org.al/</w:t>
        </w:r>
      </w:hyperlink>
      <w:r w:rsidRPr="0039086E"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7A3F"/>
    <w:multiLevelType w:val="hybridMultilevel"/>
    <w:tmpl w:val="20B07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459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593FE8"/>
    <w:multiLevelType w:val="hybridMultilevel"/>
    <w:tmpl w:val="DAFE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8BC"/>
    <w:multiLevelType w:val="hybridMultilevel"/>
    <w:tmpl w:val="2C1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C1F46"/>
    <w:multiLevelType w:val="multilevel"/>
    <w:tmpl w:val="A2BE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1DE3"/>
    <w:rsid w:val="0000696B"/>
    <w:rsid w:val="000077EB"/>
    <w:rsid w:val="00045D7F"/>
    <w:rsid w:val="00052580"/>
    <w:rsid w:val="00057B9B"/>
    <w:rsid w:val="00082B11"/>
    <w:rsid w:val="000F3F0F"/>
    <w:rsid w:val="000F4EE2"/>
    <w:rsid w:val="0010442E"/>
    <w:rsid w:val="00113A19"/>
    <w:rsid w:val="001416E3"/>
    <w:rsid w:val="00156E74"/>
    <w:rsid w:val="00183E4E"/>
    <w:rsid w:val="00190EE9"/>
    <w:rsid w:val="001B20E5"/>
    <w:rsid w:val="001C1B09"/>
    <w:rsid w:val="001C44B1"/>
    <w:rsid w:val="001C5042"/>
    <w:rsid w:val="001D33E3"/>
    <w:rsid w:val="00203F61"/>
    <w:rsid w:val="00221A1C"/>
    <w:rsid w:val="00225929"/>
    <w:rsid w:val="002326AB"/>
    <w:rsid w:val="00245D73"/>
    <w:rsid w:val="00246188"/>
    <w:rsid w:val="002507FF"/>
    <w:rsid w:val="0025450F"/>
    <w:rsid w:val="00276708"/>
    <w:rsid w:val="002801FC"/>
    <w:rsid w:val="00293F03"/>
    <w:rsid w:val="002A0754"/>
    <w:rsid w:val="002A1DFD"/>
    <w:rsid w:val="002B23D3"/>
    <w:rsid w:val="002E6E2A"/>
    <w:rsid w:val="002E74E8"/>
    <w:rsid w:val="003145AA"/>
    <w:rsid w:val="003335A3"/>
    <w:rsid w:val="0037195E"/>
    <w:rsid w:val="003766DA"/>
    <w:rsid w:val="00395D34"/>
    <w:rsid w:val="003968BD"/>
    <w:rsid w:val="003A0BBE"/>
    <w:rsid w:val="003A2679"/>
    <w:rsid w:val="003B475A"/>
    <w:rsid w:val="003C0FA7"/>
    <w:rsid w:val="003C1DE3"/>
    <w:rsid w:val="003D49AF"/>
    <w:rsid w:val="003D4BC5"/>
    <w:rsid w:val="003D7200"/>
    <w:rsid w:val="003D7C37"/>
    <w:rsid w:val="003E03A0"/>
    <w:rsid w:val="003F2D50"/>
    <w:rsid w:val="003F3F45"/>
    <w:rsid w:val="003F72AF"/>
    <w:rsid w:val="00413B3E"/>
    <w:rsid w:val="00420A96"/>
    <w:rsid w:val="00431358"/>
    <w:rsid w:val="0044330D"/>
    <w:rsid w:val="00445C22"/>
    <w:rsid w:val="0045339D"/>
    <w:rsid w:val="0045659D"/>
    <w:rsid w:val="00470B4A"/>
    <w:rsid w:val="00471054"/>
    <w:rsid w:val="004969EF"/>
    <w:rsid w:val="004A79CE"/>
    <w:rsid w:val="004E3349"/>
    <w:rsid w:val="0050094E"/>
    <w:rsid w:val="00505039"/>
    <w:rsid w:val="00507300"/>
    <w:rsid w:val="00526D87"/>
    <w:rsid w:val="005362F4"/>
    <w:rsid w:val="005367B6"/>
    <w:rsid w:val="005509D2"/>
    <w:rsid w:val="00553E00"/>
    <w:rsid w:val="005572E2"/>
    <w:rsid w:val="00565483"/>
    <w:rsid w:val="005808D0"/>
    <w:rsid w:val="00591117"/>
    <w:rsid w:val="005A3863"/>
    <w:rsid w:val="005A539D"/>
    <w:rsid w:val="005E23C3"/>
    <w:rsid w:val="005E2C5E"/>
    <w:rsid w:val="005F5820"/>
    <w:rsid w:val="006001F1"/>
    <w:rsid w:val="00610941"/>
    <w:rsid w:val="00624FE7"/>
    <w:rsid w:val="006508E6"/>
    <w:rsid w:val="00651E2D"/>
    <w:rsid w:val="00654A2B"/>
    <w:rsid w:val="006564D3"/>
    <w:rsid w:val="0068696F"/>
    <w:rsid w:val="00690B43"/>
    <w:rsid w:val="006930FF"/>
    <w:rsid w:val="006A2CF4"/>
    <w:rsid w:val="006A2F45"/>
    <w:rsid w:val="006A7425"/>
    <w:rsid w:val="006C0B09"/>
    <w:rsid w:val="006D6311"/>
    <w:rsid w:val="006F2756"/>
    <w:rsid w:val="006F67AA"/>
    <w:rsid w:val="007062D4"/>
    <w:rsid w:val="00710AA6"/>
    <w:rsid w:val="00717884"/>
    <w:rsid w:val="00720EDC"/>
    <w:rsid w:val="00737198"/>
    <w:rsid w:val="00756887"/>
    <w:rsid w:val="00764F22"/>
    <w:rsid w:val="00770CED"/>
    <w:rsid w:val="00784EB5"/>
    <w:rsid w:val="007942CB"/>
    <w:rsid w:val="007B0EF6"/>
    <w:rsid w:val="007B737E"/>
    <w:rsid w:val="00821AFC"/>
    <w:rsid w:val="008265FB"/>
    <w:rsid w:val="0083097E"/>
    <w:rsid w:val="00830EDF"/>
    <w:rsid w:val="00831B6D"/>
    <w:rsid w:val="0083376A"/>
    <w:rsid w:val="00836F58"/>
    <w:rsid w:val="008457C5"/>
    <w:rsid w:val="00845919"/>
    <w:rsid w:val="00861B05"/>
    <w:rsid w:val="00865729"/>
    <w:rsid w:val="008719B7"/>
    <w:rsid w:val="00880ACA"/>
    <w:rsid w:val="00882CB2"/>
    <w:rsid w:val="00893BB5"/>
    <w:rsid w:val="00897FA5"/>
    <w:rsid w:val="008A7E6A"/>
    <w:rsid w:val="008B4197"/>
    <w:rsid w:val="008C31DC"/>
    <w:rsid w:val="008E6228"/>
    <w:rsid w:val="008F11AD"/>
    <w:rsid w:val="009277E3"/>
    <w:rsid w:val="00936D03"/>
    <w:rsid w:val="00937CA3"/>
    <w:rsid w:val="00955D25"/>
    <w:rsid w:val="0096706C"/>
    <w:rsid w:val="00975BE2"/>
    <w:rsid w:val="009A0D55"/>
    <w:rsid w:val="009B677F"/>
    <w:rsid w:val="009F4AD2"/>
    <w:rsid w:val="009F6352"/>
    <w:rsid w:val="00A00D41"/>
    <w:rsid w:val="00A0264C"/>
    <w:rsid w:val="00A03B9B"/>
    <w:rsid w:val="00A12601"/>
    <w:rsid w:val="00A13B18"/>
    <w:rsid w:val="00A26C7E"/>
    <w:rsid w:val="00A3094C"/>
    <w:rsid w:val="00A448F4"/>
    <w:rsid w:val="00A451E6"/>
    <w:rsid w:val="00AC0D6B"/>
    <w:rsid w:val="00AD544C"/>
    <w:rsid w:val="00B176B6"/>
    <w:rsid w:val="00B34152"/>
    <w:rsid w:val="00B35377"/>
    <w:rsid w:val="00B35FE3"/>
    <w:rsid w:val="00B57953"/>
    <w:rsid w:val="00B642C6"/>
    <w:rsid w:val="00B66F8C"/>
    <w:rsid w:val="00B764C2"/>
    <w:rsid w:val="00B76FFA"/>
    <w:rsid w:val="00B96A99"/>
    <w:rsid w:val="00BA0580"/>
    <w:rsid w:val="00BA4D93"/>
    <w:rsid w:val="00BC260D"/>
    <w:rsid w:val="00BF3B54"/>
    <w:rsid w:val="00C640AD"/>
    <w:rsid w:val="00C6557A"/>
    <w:rsid w:val="00C702BC"/>
    <w:rsid w:val="00C84699"/>
    <w:rsid w:val="00C85F10"/>
    <w:rsid w:val="00C921F0"/>
    <w:rsid w:val="00C971A0"/>
    <w:rsid w:val="00CB4E3C"/>
    <w:rsid w:val="00CC6A52"/>
    <w:rsid w:val="00CD4F5F"/>
    <w:rsid w:val="00CE005E"/>
    <w:rsid w:val="00CE39E6"/>
    <w:rsid w:val="00CE4B91"/>
    <w:rsid w:val="00D22854"/>
    <w:rsid w:val="00D30DDC"/>
    <w:rsid w:val="00D32594"/>
    <w:rsid w:val="00D33EA6"/>
    <w:rsid w:val="00D400E9"/>
    <w:rsid w:val="00D41A69"/>
    <w:rsid w:val="00D46C21"/>
    <w:rsid w:val="00D9179C"/>
    <w:rsid w:val="00D957DF"/>
    <w:rsid w:val="00DC5847"/>
    <w:rsid w:val="00DD4B3A"/>
    <w:rsid w:val="00DD6F2E"/>
    <w:rsid w:val="00E16FD7"/>
    <w:rsid w:val="00E22B23"/>
    <w:rsid w:val="00E3023E"/>
    <w:rsid w:val="00E32A35"/>
    <w:rsid w:val="00E416DB"/>
    <w:rsid w:val="00E465E8"/>
    <w:rsid w:val="00E63DBB"/>
    <w:rsid w:val="00EA118A"/>
    <w:rsid w:val="00EA76CD"/>
    <w:rsid w:val="00F103F7"/>
    <w:rsid w:val="00F52FEA"/>
    <w:rsid w:val="00F5490A"/>
    <w:rsid w:val="00F632F5"/>
    <w:rsid w:val="00F66F24"/>
    <w:rsid w:val="00F706B7"/>
    <w:rsid w:val="00F7096D"/>
    <w:rsid w:val="00F77CA0"/>
    <w:rsid w:val="00F84DD0"/>
    <w:rsid w:val="00F84EBA"/>
    <w:rsid w:val="00F96962"/>
    <w:rsid w:val="00FA5E5E"/>
    <w:rsid w:val="00FC1322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0F"/>
    <w:pPr>
      <w:ind w:left="720"/>
      <w:contextualSpacing/>
    </w:pPr>
  </w:style>
  <w:style w:type="paragraph" w:customStyle="1" w:styleId="Default">
    <w:name w:val="Default"/>
    <w:rsid w:val="00D3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EA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3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EA6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unhideWhenUsed/>
    <w:rsid w:val="00D33E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009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7C3"/>
  </w:style>
  <w:style w:type="paragraph" w:styleId="Footer">
    <w:name w:val="footer"/>
    <w:basedOn w:val="Normal"/>
    <w:link w:val="FooterChar"/>
    <w:uiPriority w:val="99"/>
    <w:unhideWhenUsed/>
    <w:rsid w:val="00F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sh.org.al" TargetMode="External"/><Relationship Id="rId13" Type="http://schemas.openxmlformats.org/officeDocument/2006/relationships/hyperlink" Target="http://www.klsh.org.al/" TargetMode="External"/><Relationship Id="rId3" Type="http://schemas.openxmlformats.org/officeDocument/2006/relationships/hyperlink" Target="http://www.parlament.al/web/Ligje_te_miratuara_59_1.php" TargetMode="External"/><Relationship Id="rId7" Type="http://schemas.openxmlformats.org/officeDocument/2006/relationships/hyperlink" Target="http://www.klsh.org.al/web/pub/raporti_performances_se_klsh_2013_1159_1.pdf" TargetMode="External"/><Relationship Id="rId12" Type="http://schemas.openxmlformats.org/officeDocument/2006/relationships/hyperlink" Target="http://www.minfin.gov.al/minfin/pub/pba_2011_2013_final_1789_1.pdf" TargetMode="External"/><Relationship Id="rId2" Type="http://schemas.openxmlformats.org/officeDocument/2006/relationships/hyperlink" Target="http://search.oecd.org/officialdocuments/publicdisplaydocumentpdf/?cote=GOV/SIGMA%282012%291&amp;docLanguage=En" TargetMode="External"/><Relationship Id="rId1" Type="http://schemas.openxmlformats.org/officeDocument/2006/relationships/hyperlink" Target="http://www.cess.org/doc.php?id=11" TargetMode="External"/><Relationship Id="rId6" Type="http://schemas.openxmlformats.org/officeDocument/2006/relationships/hyperlink" Target="http://www.parlament.al/web/pub/manuali_varianti_perfundimtar_18331_1.pdf" TargetMode="External"/><Relationship Id="rId11" Type="http://schemas.openxmlformats.org/officeDocument/2006/relationships/hyperlink" Target="http://www.minfin.gov.al/minfin/Programi_Buxhetor_Afatmesem_ne_Vite_576_1.php" TargetMode="External"/><Relationship Id="rId5" Type="http://schemas.openxmlformats.org/officeDocument/2006/relationships/hyperlink" Target="http://www.parlament.al/web/pub/komisioni_i_sigurise_date_29_072014_18922_1.pdf" TargetMode="External"/><Relationship Id="rId15" Type="http://schemas.openxmlformats.org/officeDocument/2006/relationships/hyperlink" Target="http://www.klsh.org.al/" TargetMode="External"/><Relationship Id="rId10" Type="http://schemas.openxmlformats.org/officeDocument/2006/relationships/hyperlink" Target="http://www.klsh.org.al/web/pub/raporti_performances_se_klsh_2013_1159_1.pdf" TargetMode="External"/><Relationship Id="rId4" Type="http://schemas.openxmlformats.org/officeDocument/2006/relationships/hyperlink" Target="http://www.panorama.com.al/2014/10/13/pergjimet-ne-rrethe-flet-ish-deputeti-i-pd-rrezimi-i-ligjit-shkriu-komisionin-e-ligjeve/" TargetMode="External"/><Relationship Id="rId9" Type="http://schemas.openxmlformats.org/officeDocument/2006/relationships/hyperlink" Target="http://www.klsh.org.al/" TargetMode="External"/><Relationship Id="rId14" Type="http://schemas.openxmlformats.org/officeDocument/2006/relationships/hyperlink" Target="http://www.klsh.org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 Duro</dc:creator>
  <cp:keywords/>
  <dc:description/>
  <cp:lastModifiedBy>Foto Duro</cp:lastModifiedBy>
  <cp:revision>6</cp:revision>
  <dcterms:created xsi:type="dcterms:W3CDTF">2014-10-24T10:14:00Z</dcterms:created>
  <dcterms:modified xsi:type="dcterms:W3CDTF">2014-10-30T12:27:00Z</dcterms:modified>
</cp:coreProperties>
</file>